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EA5" w:rsidRPr="003B2694" w:rsidRDefault="006B320F" w:rsidP="003B2694">
      <w:pPr>
        <w:pStyle w:val="NoSpacing"/>
        <w:jc w:val="center"/>
        <w:rPr>
          <w:sz w:val="32"/>
        </w:rPr>
      </w:pPr>
      <w:r w:rsidRPr="003B2694">
        <w:rPr>
          <w:b/>
          <w:sz w:val="32"/>
          <w:u w:val="single"/>
        </w:rPr>
        <w:t>CORRIGENDUM – JAIIB REVISED SYLLABUS</w:t>
      </w:r>
    </w:p>
    <w:p w:rsidR="003B2694" w:rsidRPr="003B2694" w:rsidRDefault="003B2694" w:rsidP="003B2694">
      <w:pPr>
        <w:pStyle w:val="NoSpacing"/>
        <w:rPr>
          <w:sz w:val="28"/>
        </w:rPr>
      </w:pPr>
    </w:p>
    <w:tbl>
      <w:tblPr>
        <w:tblStyle w:val="TableGrid"/>
        <w:tblW w:w="9265" w:type="dxa"/>
        <w:tblLook w:val="04A0" w:firstRow="1" w:lastRow="0" w:firstColumn="1" w:lastColumn="0" w:noHBand="0" w:noVBand="1"/>
      </w:tblPr>
      <w:tblGrid>
        <w:gridCol w:w="805"/>
        <w:gridCol w:w="990"/>
        <w:gridCol w:w="3780"/>
        <w:gridCol w:w="3690"/>
      </w:tblGrid>
      <w:tr w:rsidR="003B2694" w:rsidTr="00F26EA0">
        <w:tc>
          <w:tcPr>
            <w:tcW w:w="9265" w:type="dxa"/>
            <w:gridSpan w:val="4"/>
          </w:tcPr>
          <w:p w:rsidR="003B2694" w:rsidRPr="006B676E" w:rsidRDefault="003B2694" w:rsidP="003B2694">
            <w:pPr>
              <w:pStyle w:val="NoSpacing"/>
              <w:jc w:val="center"/>
              <w:rPr>
                <w:b/>
              </w:rPr>
            </w:pPr>
            <w:r w:rsidRPr="006B676E">
              <w:rPr>
                <w:b/>
                <w:sz w:val="28"/>
              </w:rPr>
              <w:t>Accounting &amp; Financial Management for Bankers (AFM)</w:t>
            </w:r>
          </w:p>
        </w:tc>
      </w:tr>
      <w:tr w:rsidR="003B2694" w:rsidTr="003A09F5">
        <w:tc>
          <w:tcPr>
            <w:tcW w:w="805" w:type="dxa"/>
          </w:tcPr>
          <w:p w:rsidR="003B2694" w:rsidRPr="003B2694" w:rsidRDefault="003B2694" w:rsidP="003B2694">
            <w:pPr>
              <w:pStyle w:val="NoSpacing"/>
              <w:jc w:val="center"/>
              <w:rPr>
                <w:b/>
                <w:sz w:val="24"/>
              </w:rPr>
            </w:pPr>
            <w:proofErr w:type="spellStart"/>
            <w:r w:rsidRPr="003B2694">
              <w:rPr>
                <w:b/>
                <w:sz w:val="24"/>
              </w:rPr>
              <w:t>S.No</w:t>
            </w:r>
            <w:proofErr w:type="spellEnd"/>
            <w:r w:rsidRPr="003B2694">
              <w:rPr>
                <w:b/>
                <w:sz w:val="24"/>
              </w:rPr>
              <w:t>.</w:t>
            </w:r>
          </w:p>
        </w:tc>
        <w:tc>
          <w:tcPr>
            <w:tcW w:w="990" w:type="dxa"/>
          </w:tcPr>
          <w:p w:rsidR="003B2694" w:rsidRPr="003B2694" w:rsidRDefault="003B2694" w:rsidP="003B2694">
            <w:pPr>
              <w:pStyle w:val="NoSpacing"/>
              <w:jc w:val="center"/>
              <w:rPr>
                <w:b/>
                <w:sz w:val="24"/>
              </w:rPr>
            </w:pPr>
            <w:r w:rsidRPr="003B2694">
              <w:rPr>
                <w:b/>
                <w:sz w:val="24"/>
              </w:rPr>
              <w:t>Pg. No.</w:t>
            </w:r>
          </w:p>
        </w:tc>
        <w:tc>
          <w:tcPr>
            <w:tcW w:w="3780" w:type="dxa"/>
          </w:tcPr>
          <w:p w:rsidR="003B2694" w:rsidRPr="003B2694" w:rsidRDefault="003B2694" w:rsidP="003B2694">
            <w:pPr>
              <w:pStyle w:val="NoSpacing"/>
              <w:jc w:val="center"/>
              <w:rPr>
                <w:b/>
                <w:sz w:val="24"/>
              </w:rPr>
            </w:pPr>
            <w:r w:rsidRPr="003B2694">
              <w:rPr>
                <w:b/>
                <w:sz w:val="24"/>
              </w:rPr>
              <w:t>Updated as</w:t>
            </w:r>
          </w:p>
        </w:tc>
        <w:tc>
          <w:tcPr>
            <w:tcW w:w="3690" w:type="dxa"/>
          </w:tcPr>
          <w:p w:rsidR="003B2694" w:rsidRPr="003B2694" w:rsidRDefault="003B2694" w:rsidP="003B2694">
            <w:pPr>
              <w:pStyle w:val="NoSpacing"/>
              <w:jc w:val="center"/>
              <w:rPr>
                <w:b/>
                <w:sz w:val="24"/>
              </w:rPr>
            </w:pPr>
            <w:r w:rsidRPr="003B2694">
              <w:rPr>
                <w:b/>
                <w:sz w:val="24"/>
              </w:rPr>
              <w:t>To be read as</w:t>
            </w:r>
          </w:p>
        </w:tc>
      </w:tr>
      <w:tr w:rsidR="003B2694" w:rsidTr="003A09F5">
        <w:tc>
          <w:tcPr>
            <w:tcW w:w="805" w:type="dxa"/>
          </w:tcPr>
          <w:p w:rsidR="003B2694" w:rsidRPr="003B2694" w:rsidRDefault="003B2694" w:rsidP="003B2694">
            <w:pPr>
              <w:pStyle w:val="NoSpacing"/>
              <w:rPr>
                <w:sz w:val="24"/>
              </w:rPr>
            </w:pPr>
            <w:r w:rsidRPr="003B2694">
              <w:rPr>
                <w:sz w:val="24"/>
              </w:rPr>
              <w:t>1</w:t>
            </w:r>
          </w:p>
        </w:tc>
        <w:tc>
          <w:tcPr>
            <w:tcW w:w="990" w:type="dxa"/>
          </w:tcPr>
          <w:p w:rsidR="003B2694" w:rsidRPr="003B2694" w:rsidRDefault="003B2694" w:rsidP="003B2694">
            <w:pPr>
              <w:pStyle w:val="NoSpacing"/>
              <w:rPr>
                <w:sz w:val="24"/>
              </w:rPr>
            </w:pPr>
            <w:r w:rsidRPr="003B2694">
              <w:rPr>
                <w:sz w:val="24"/>
              </w:rPr>
              <w:t>241</w:t>
            </w:r>
          </w:p>
        </w:tc>
        <w:tc>
          <w:tcPr>
            <w:tcW w:w="3780" w:type="dxa"/>
          </w:tcPr>
          <w:p w:rsidR="003B2694" w:rsidRPr="003B2694" w:rsidRDefault="003B2694" w:rsidP="003B2694">
            <w:pPr>
              <w:pStyle w:val="NoSpacing"/>
              <w:rPr>
                <w:sz w:val="24"/>
              </w:rPr>
            </w:pPr>
            <w:r w:rsidRPr="003B2694">
              <w:rPr>
                <w:sz w:val="24"/>
              </w:rPr>
              <w:t>Cost of Goods Sold = (purchases + opening stock) – (closing stock + expenses)</w:t>
            </w:r>
          </w:p>
        </w:tc>
        <w:tc>
          <w:tcPr>
            <w:tcW w:w="3690" w:type="dxa"/>
          </w:tcPr>
          <w:p w:rsidR="003B2694" w:rsidRPr="003B2694" w:rsidRDefault="003B2694" w:rsidP="003B2694">
            <w:pPr>
              <w:pStyle w:val="NoSpacing"/>
              <w:rPr>
                <w:sz w:val="24"/>
              </w:rPr>
            </w:pPr>
            <w:r w:rsidRPr="003B2694">
              <w:rPr>
                <w:sz w:val="24"/>
              </w:rPr>
              <w:t>Cost of Goods Sold = (opening stock + purchases + expenses) – (closing stock)</w:t>
            </w:r>
          </w:p>
        </w:tc>
      </w:tr>
      <w:tr w:rsidR="003B2694" w:rsidTr="003A09F5">
        <w:tc>
          <w:tcPr>
            <w:tcW w:w="805" w:type="dxa"/>
          </w:tcPr>
          <w:p w:rsidR="003B2694" w:rsidRPr="003B2694" w:rsidRDefault="003B2694" w:rsidP="003B2694">
            <w:pPr>
              <w:pStyle w:val="NoSpacing"/>
              <w:rPr>
                <w:sz w:val="24"/>
              </w:rPr>
            </w:pPr>
            <w:r>
              <w:rPr>
                <w:sz w:val="24"/>
              </w:rPr>
              <w:t>2</w:t>
            </w:r>
          </w:p>
        </w:tc>
        <w:tc>
          <w:tcPr>
            <w:tcW w:w="990" w:type="dxa"/>
          </w:tcPr>
          <w:p w:rsidR="003B2694" w:rsidRPr="003B2694" w:rsidRDefault="003B2694" w:rsidP="003B2694">
            <w:pPr>
              <w:pStyle w:val="NoSpacing"/>
              <w:rPr>
                <w:sz w:val="24"/>
              </w:rPr>
            </w:pPr>
            <w:r>
              <w:rPr>
                <w:sz w:val="24"/>
              </w:rPr>
              <w:t>317</w:t>
            </w:r>
          </w:p>
        </w:tc>
        <w:tc>
          <w:tcPr>
            <w:tcW w:w="3780" w:type="dxa"/>
          </w:tcPr>
          <w:p w:rsidR="003B2694" w:rsidRPr="003B2694" w:rsidRDefault="003B2694" w:rsidP="003B2694">
            <w:pPr>
              <w:pStyle w:val="NoSpacing"/>
              <w:rPr>
                <w:sz w:val="24"/>
              </w:rPr>
            </w:pPr>
            <w:r w:rsidRPr="003B2694">
              <w:rPr>
                <w:sz w:val="24"/>
              </w:rPr>
              <w:t>Net cash flow from operating activities (B)</w:t>
            </w:r>
          </w:p>
        </w:tc>
        <w:tc>
          <w:tcPr>
            <w:tcW w:w="3690" w:type="dxa"/>
          </w:tcPr>
          <w:p w:rsidR="003B2694" w:rsidRPr="003B2694" w:rsidRDefault="003B2694" w:rsidP="003B2694">
            <w:pPr>
              <w:pStyle w:val="NoSpacing"/>
              <w:rPr>
                <w:sz w:val="24"/>
              </w:rPr>
            </w:pPr>
            <w:r w:rsidRPr="003B2694">
              <w:rPr>
                <w:sz w:val="24"/>
              </w:rPr>
              <w:t xml:space="preserve">Net cash flow from </w:t>
            </w:r>
            <w:r>
              <w:rPr>
                <w:sz w:val="24"/>
              </w:rPr>
              <w:t>investing</w:t>
            </w:r>
            <w:r w:rsidRPr="003B2694">
              <w:rPr>
                <w:sz w:val="24"/>
              </w:rPr>
              <w:t xml:space="preserve"> activities (B)</w:t>
            </w:r>
          </w:p>
        </w:tc>
      </w:tr>
      <w:tr w:rsidR="003B2694" w:rsidTr="003A09F5">
        <w:tc>
          <w:tcPr>
            <w:tcW w:w="805" w:type="dxa"/>
          </w:tcPr>
          <w:p w:rsidR="003B2694" w:rsidRPr="003B2694" w:rsidRDefault="003B2694" w:rsidP="003B2694">
            <w:pPr>
              <w:pStyle w:val="NoSpacing"/>
              <w:rPr>
                <w:sz w:val="24"/>
              </w:rPr>
            </w:pPr>
            <w:r>
              <w:rPr>
                <w:sz w:val="24"/>
              </w:rPr>
              <w:t>3</w:t>
            </w:r>
          </w:p>
        </w:tc>
        <w:tc>
          <w:tcPr>
            <w:tcW w:w="990" w:type="dxa"/>
          </w:tcPr>
          <w:p w:rsidR="003B2694" w:rsidRPr="003B2694" w:rsidRDefault="003B2694" w:rsidP="003B2694">
            <w:pPr>
              <w:pStyle w:val="NoSpacing"/>
              <w:rPr>
                <w:sz w:val="24"/>
              </w:rPr>
            </w:pPr>
            <w:r>
              <w:rPr>
                <w:sz w:val="24"/>
              </w:rPr>
              <w:t>318</w:t>
            </w:r>
          </w:p>
        </w:tc>
        <w:tc>
          <w:tcPr>
            <w:tcW w:w="3780" w:type="dxa"/>
          </w:tcPr>
          <w:p w:rsidR="003B2694" w:rsidRPr="003B2694" w:rsidRDefault="003B2694" w:rsidP="003B2694">
            <w:pPr>
              <w:pStyle w:val="NoSpacing"/>
              <w:rPr>
                <w:sz w:val="24"/>
              </w:rPr>
            </w:pPr>
            <w:r w:rsidRPr="003B2694">
              <w:rPr>
                <w:sz w:val="24"/>
              </w:rPr>
              <w:t>Net cash flow from operating activities (</w:t>
            </w:r>
            <w:r>
              <w:rPr>
                <w:sz w:val="24"/>
              </w:rPr>
              <w:t>C</w:t>
            </w:r>
            <w:r w:rsidRPr="003B2694">
              <w:rPr>
                <w:sz w:val="24"/>
              </w:rPr>
              <w:t>)</w:t>
            </w:r>
          </w:p>
        </w:tc>
        <w:tc>
          <w:tcPr>
            <w:tcW w:w="3690" w:type="dxa"/>
          </w:tcPr>
          <w:p w:rsidR="003B2694" w:rsidRPr="003B2694" w:rsidRDefault="003B2694" w:rsidP="003B2694">
            <w:pPr>
              <w:pStyle w:val="NoSpacing"/>
              <w:rPr>
                <w:sz w:val="24"/>
              </w:rPr>
            </w:pPr>
            <w:r w:rsidRPr="003B2694">
              <w:rPr>
                <w:sz w:val="24"/>
              </w:rPr>
              <w:t xml:space="preserve">Net cash flow from </w:t>
            </w:r>
            <w:r>
              <w:rPr>
                <w:sz w:val="24"/>
              </w:rPr>
              <w:t>financing</w:t>
            </w:r>
            <w:r w:rsidRPr="003B2694">
              <w:rPr>
                <w:sz w:val="24"/>
              </w:rPr>
              <w:t xml:space="preserve"> activities (</w:t>
            </w:r>
            <w:r>
              <w:rPr>
                <w:sz w:val="24"/>
              </w:rPr>
              <w:t>C</w:t>
            </w:r>
            <w:r w:rsidRPr="003B2694">
              <w:rPr>
                <w:sz w:val="24"/>
              </w:rPr>
              <w:t>)</w:t>
            </w:r>
          </w:p>
        </w:tc>
      </w:tr>
      <w:tr w:rsidR="004F0AA2" w:rsidTr="003A09F5">
        <w:tc>
          <w:tcPr>
            <w:tcW w:w="805" w:type="dxa"/>
          </w:tcPr>
          <w:p w:rsidR="004F0AA2" w:rsidRDefault="004F0AA2" w:rsidP="003B2694">
            <w:pPr>
              <w:pStyle w:val="NoSpacing"/>
              <w:rPr>
                <w:sz w:val="24"/>
              </w:rPr>
            </w:pPr>
            <w:r>
              <w:rPr>
                <w:sz w:val="24"/>
              </w:rPr>
              <w:t>4</w:t>
            </w:r>
          </w:p>
        </w:tc>
        <w:tc>
          <w:tcPr>
            <w:tcW w:w="990" w:type="dxa"/>
          </w:tcPr>
          <w:p w:rsidR="004F0AA2" w:rsidRDefault="004F0AA2" w:rsidP="003B2694">
            <w:pPr>
              <w:pStyle w:val="NoSpacing"/>
              <w:rPr>
                <w:sz w:val="24"/>
              </w:rPr>
            </w:pPr>
            <w:r>
              <w:rPr>
                <w:sz w:val="24"/>
              </w:rPr>
              <w:t>412</w:t>
            </w:r>
          </w:p>
        </w:tc>
        <w:tc>
          <w:tcPr>
            <w:tcW w:w="3780" w:type="dxa"/>
          </w:tcPr>
          <w:p w:rsidR="004F0AA2" w:rsidRPr="006B676E" w:rsidRDefault="004F0AA2" w:rsidP="004F0AA2">
            <w:pPr>
              <w:pStyle w:val="NoSpacing"/>
              <w:rPr>
                <w:sz w:val="24"/>
                <w:highlight w:val="yellow"/>
              </w:rPr>
            </w:pPr>
            <w:r w:rsidRPr="004F0AA2">
              <w:rPr>
                <w:sz w:val="24"/>
              </w:rPr>
              <w:t>Earnings per share = Net Profit after tax and preference dividend / Number of outstanding equity shares</w:t>
            </w:r>
          </w:p>
        </w:tc>
        <w:tc>
          <w:tcPr>
            <w:tcW w:w="3690" w:type="dxa"/>
          </w:tcPr>
          <w:p w:rsidR="004F0AA2" w:rsidRPr="006B676E" w:rsidRDefault="004F0AA2" w:rsidP="004F0AA2">
            <w:pPr>
              <w:pStyle w:val="NoSpacing"/>
              <w:rPr>
                <w:sz w:val="24"/>
                <w:highlight w:val="yellow"/>
              </w:rPr>
            </w:pPr>
            <w:r w:rsidRPr="004F0AA2">
              <w:rPr>
                <w:sz w:val="24"/>
              </w:rPr>
              <w:t xml:space="preserve">Earnings per share = Net Profit after tax </w:t>
            </w:r>
            <w:r w:rsidRPr="004F0AA2">
              <w:rPr>
                <w:color w:val="FF0000"/>
                <w:sz w:val="24"/>
              </w:rPr>
              <w:t>minus</w:t>
            </w:r>
            <w:r w:rsidRPr="004F0AA2">
              <w:rPr>
                <w:sz w:val="24"/>
              </w:rPr>
              <w:t xml:space="preserve"> preference dividend / Number of outstanding equity shares</w:t>
            </w:r>
          </w:p>
        </w:tc>
      </w:tr>
      <w:tr w:rsidR="003C6690" w:rsidTr="003A09F5">
        <w:tc>
          <w:tcPr>
            <w:tcW w:w="805" w:type="dxa"/>
          </w:tcPr>
          <w:p w:rsidR="003C6690" w:rsidRPr="003B2694" w:rsidRDefault="003C6690" w:rsidP="003C6690">
            <w:pPr>
              <w:pStyle w:val="NoSpacing"/>
              <w:rPr>
                <w:sz w:val="24"/>
              </w:rPr>
            </w:pPr>
            <w:r>
              <w:rPr>
                <w:sz w:val="24"/>
              </w:rPr>
              <w:t>5</w:t>
            </w:r>
          </w:p>
        </w:tc>
        <w:tc>
          <w:tcPr>
            <w:tcW w:w="990" w:type="dxa"/>
          </w:tcPr>
          <w:p w:rsidR="003C6690" w:rsidRPr="003B2694" w:rsidRDefault="003C6690" w:rsidP="003C6690">
            <w:pPr>
              <w:pStyle w:val="NoSpacing"/>
              <w:rPr>
                <w:sz w:val="24"/>
              </w:rPr>
            </w:pPr>
            <w:r>
              <w:rPr>
                <w:sz w:val="24"/>
              </w:rPr>
              <w:t>550</w:t>
            </w:r>
          </w:p>
        </w:tc>
        <w:tc>
          <w:tcPr>
            <w:tcW w:w="3780" w:type="dxa"/>
          </w:tcPr>
          <w:p w:rsidR="003C6690" w:rsidRPr="00F26EA0" w:rsidRDefault="003C6690" w:rsidP="003C6690">
            <w:pPr>
              <w:pStyle w:val="NoSpacing"/>
              <w:rPr>
                <w:sz w:val="24"/>
              </w:rPr>
            </w:pPr>
            <w:r w:rsidRPr="006B676E">
              <w:rPr>
                <w:sz w:val="24"/>
                <w:highlight w:val="yellow"/>
              </w:rPr>
              <w:t>30.4.</w:t>
            </w:r>
            <w:r w:rsidRPr="003C6690">
              <w:rPr>
                <w:sz w:val="24"/>
                <w:highlight w:val="yellow"/>
              </w:rPr>
              <w:t>3 &amp; Let Us Sum Up</w:t>
            </w:r>
            <w:r>
              <w:rPr>
                <w:sz w:val="24"/>
              </w:rPr>
              <w:t xml:space="preserve"> - </w:t>
            </w:r>
            <w:r w:rsidRPr="003F1057">
              <w:rPr>
                <w:sz w:val="24"/>
              </w:rPr>
              <w:t xml:space="preserve">Under the system of GST, the threshold limit is ₹ 20 lakh (₹ 10 lakh for north eastern states, </w:t>
            </w:r>
            <w:proofErr w:type="spellStart"/>
            <w:r w:rsidRPr="003F1057">
              <w:rPr>
                <w:sz w:val="24"/>
              </w:rPr>
              <w:t>Uttarakhand</w:t>
            </w:r>
            <w:proofErr w:type="spellEnd"/>
            <w:r w:rsidRPr="003F1057">
              <w:rPr>
                <w:sz w:val="24"/>
              </w:rPr>
              <w:t>,</w:t>
            </w:r>
            <w:r>
              <w:rPr>
                <w:sz w:val="24"/>
              </w:rPr>
              <w:t xml:space="preserve"> </w:t>
            </w:r>
            <w:r w:rsidRPr="003F1057">
              <w:rPr>
                <w:sz w:val="24"/>
              </w:rPr>
              <w:t>Sikkim and Himachal Pradesh).</w:t>
            </w:r>
          </w:p>
        </w:tc>
        <w:tc>
          <w:tcPr>
            <w:tcW w:w="3690" w:type="dxa"/>
          </w:tcPr>
          <w:p w:rsidR="003C6690" w:rsidRPr="003F1057" w:rsidRDefault="003C6690" w:rsidP="003C6690">
            <w:pPr>
              <w:pStyle w:val="NoSpacing"/>
              <w:rPr>
                <w:sz w:val="24"/>
              </w:rPr>
            </w:pPr>
            <w:r w:rsidRPr="006B676E">
              <w:rPr>
                <w:sz w:val="24"/>
                <w:highlight w:val="yellow"/>
              </w:rPr>
              <w:t>30.4.</w:t>
            </w:r>
            <w:r w:rsidRPr="003C6690">
              <w:rPr>
                <w:sz w:val="24"/>
                <w:highlight w:val="yellow"/>
              </w:rPr>
              <w:t>3 &amp; Let Us Sum Up</w:t>
            </w:r>
            <w:r>
              <w:rPr>
                <w:sz w:val="24"/>
              </w:rPr>
              <w:t xml:space="preserve"> - </w:t>
            </w:r>
            <w:r w:rsidRPr="003F1057">
              <w:rPr>
                <w:sz w:val="24"/>
              </w:rPr>
              <w:t xml:space="preserve">Under the system of GST, the threshold limit </w:t>
            </w:r>
            <w:r>
              <w:rPr>
                <w:sz w:val="24"/>
              </w:rPr>
              <w:t xml:space="preserve">for Sale of Goods </w:t>
            </w:r>
            <w:r w:rsidRPr="003F1057">
              <w:rPr>
                <w:sz w:val="24"/>
              </w:rPr>
              <w:t xml:space="preserve">is </w:t>
            </w:r>
            <w:r w:rsidRPr="003C6690">
              <w:rPr>
                <w:color w:val="FF0000"/>
                <w:sz w:val="24"/>
              </w:rPr>
              <w:t>₹ 40 lakh</w:t>
            </w:r>
            <w:r w:rsidRPr="003F1057">
              <w:rPr>
                <w:sz w:val="24"/>
              </w:rPr>
              <w:t xml:space="preserve"> (</w:t>
            </w:r>
            <w:r w:rsidRPr="003C6690">
              <w:rPr>
                <w:color w:val="FF0000"/>
                <w:sz w:val="24"/>
              </w:rPr>
              <w:t>₹ 20 lakh</w:t>
            </w:r>
            <w:r w:rsidRPr="003F1057">
              <w:rPr>
                <w:sz w:val="24"/>
              </w:rPr>
              <w:t xml:space="preserve"> for north eastern states, </w:t>
            </w:r>
            <w:proofErr w:type="spellStart"/>
            <w:r w:rsidRPr="003F1057">
              <w:rPr>
                <w:sz w:val="24"/>
              </w:rPr>
              <w:t>Uttarakhand</w:t>
            </w:r>
            <w:proofErr w:type="spellEnd"/>
            <w:r w:rsidRPr="003F1057">
              <w:rPr>
                <w:sz w:val="24"/>
              </w:rPr>
              <w:t>,</w:t>
            </w:r>
          </w:p>
          <w:p w:rsidR="003C6690" w:rsidRPr="003C6690" w:rsidRDefault="003C6690" w:rsidP="003C6690">
            <w:pPr>
              <w:pStyle w:val="NoSpacing"/>
              <w:rPr>
                <w:color w:val="FF0000"/>
                <w:sz w:val="24"/>
              </w:rPr>
            </w:pPr>
            <w:r w:rsidRPr="003F1057">
              <w:rPr>
                <w:sz w:val="24"/>
              </w:rPr>
              <w:t>Sikkim and Himachal Pradesh).</w:t>
            </w:r>
            <w:r>
              <w:rPr>
                <w:sz w:val="24"/>
              </w:rPr>
              <w:t xml:space="preserve"> </w:t>
            </w:r>
            <w:r w:rsidRPr="003C6690">
              <w:rPr>
                <w:color w:val="FF0000"/>
                <w:sz w:val="24"/>
              </w:rPr>
              <w:t xml:space="preserve">For Sale of Services the threshold limit </w:t>
            </w:r>
            <w:proofErr w:type="gramStart"/>
            <w:r w:rsidRPr="003C6690">
              <w:rPr>
                <w:color w:val="FF0000"/>
                <w:sz w:val="24"/>
              </w:rPr>
              <w:t>is ₹ 20</w:t>
            </w:r>
            <w:proofErr w:type="gramEnd"/>
            <w:r w:rsidRPr="003C6690">
              <w:rPr>
                <w:color w:val="FF0000"/>
                <w:sz w:val="24"/>
              </w:rPr>
              <w:t xml:space="preserve"> lakh (₹ </w:t>
            </w:r>
            <w:r w:rsidR="00693D7B">
              <w:rPr>
                <w:color w:val="FF0000"/>
                <w:sz w:val="24"/>
              </w:rPr>
              <w:t>1</w:t>
            </w:r>
            <w:r w:rsidRPr="003C6690">
              <w:rPr>
                <w:color w:val="FF0000"/>
                <w:sz w:val="24"/>
              </w:rPr>
              <w:t xml:space="preserve">0 lakh for north eastern states, </w:t>
            </w:r>
            <w:proofErr w:type="spellStart"/>
            <w:r w:rsidRPr="003C6690">
              <w:rPr>
                <w:color w:val="FF0000"/>
                <w:sz w:val="24"/>
              </w:rPr>
              <w:t>Uttarakhand</w:t>
            </w:r>
            <w:proofErr w:type="spellEnd"/>
            <w:r w:rsidRPr="003C6690">
              <w:rPr>
                <w:color w:val="FF0000"/>
                <w:sz w:val="24"/>
              </w:rPr>
              <w:t>,</w:t>
            </w:r>
          </w:p>
          <w:p w:rsidR="003C6690" w:rsidRPr="00F26EA0" w:rsidRDefault="003C6690" w:rsidP="003C6690">
            <w:pPr>
              <w:pStyle w:val="NoSpacing"/>
              <w:rPr>
                <w:sz w:val="24"/>
              </w:rPr>
            </w:pPr>
            <w:r w:rsidRPr="003C6690">
              <w:rPr>
                <w:color w:val="FF0000"/>
                <w:sz w:val="24"/>
              </w:rPr>
              <w:t>Sikkim and Himachal Pradesh).</w:t>
            </w:r>
            <w:r>
              <w:rPr>
                <w:sz w:val="24"/>
              </w:rPr>
              <w:t xml:space="preserve"> </w:t>
            </w:r>
            <w:r w:rsidRPr="003C6690">
              <w:rPr>
                <w:sz w:val="24"/>
              </w:rPr>
              <w:t>Suppliers below the threshold limit are not required to register or pay tax.</w:t>
            </w:r>
          </w:p>
        </w:tc>
      </w:tr>
      <w:tr w:rsidR="003C6690" w:rsidTr="003A09F5">
        <w:tc>
          <w:tcPr>
            <w:tcW w:w="805" w:type="dxa"/>
          </w:tcPr>
          <w:p w:rsidR="003C6690" w:rsidRPr="00F26EA0" w:rsidRDefault="003C6690" w:rsidP="003C6690">
            <w:pPr>
              <w:pStyle w:val="NoSpacing"/>
              <w:rPr>
                <w:sz w:val="24"/>
              </w:rPr>
            </w:pPr>
          </w:p>
        </w:tc>
        <w:tc>
          <w:tcPr>
            <w:tcW w:w="990" w:type="dxa"/>
          </w:tcPr>
          <w:p w:rsidR="003C6690" w:rsidRPr="00F26EA0" w:rsidRDefault="003C6690" w:rsidP="003C6690">
            <w:pPr>
              <w:pStyle w:val="NoSpacing"/>
              <w:rPr>
                <w:sz w:val="24"/>
              </w:rPr>
            </w:pPr>
          </w:p>
        </w:tc>
        <w:tc>
          <w:tcPr>
            <w:tcW w:w="3780" w:type="dxa"/>
          </w:tcPr>
          <w:p w:rsidR="003C6690" w:rsidRPr="00F26EA0" w:rsidRDefault="003C6690" w:rsidP="003C6690">
            <w:pPr>
              <w:pStyle w:val="NoSpacing"/>
              <w:rPr>
                <w:sz w:val="24"/>
              </w:rPr>
            </w:pPr>
          </w:p>
        </w:tc>
        <w:tc>
          <w:tcPr>
            <w:tcW w:w="3690" w:type="dxa"/>
          </w:tcPr>
          <w:p w:rsidR="003C6690" w:rsidRPr="00F26EA0" w:rsidRDefault="003C6690" w:rsidP="003C6690">
            <w:pPr>
              <w:pStyle w:val="NoSpacing"/>
              <w:rPr>
                <w:sz w:val="24"/>
              </w:rPr>
            </w:pPr>
          </w:p>
        </w:tc>
      </w:tr>
      <w:tr w:rsidR="003C6690" w:rsidTr="003A09F5">
        <w:tc>
          <w:tcPr>
            <w:tcW w:w="805" w:type="dxa"/>
          </w:tcPr>
          <w:p w:rsidR="003C6690" w:rsidRPr="00F26EA0" w:rsidRDefault="003C6690" w:rsidP="003C6690">
            <w:pPr>
              <w:pStyle w:val="NoSpacing"/>
              <w:rPr>
                <w:sz w:val="24"/>
              </w:rPr>
            </w:pPr>
          </w:p>
        </w:tc>
        <w:tc>
          <w:tcPr>
            <w:tcW w:w="990" w:type="dxa"/>
          </w:tcPr>
          <w:p w:rsidR="003C6690" w:rsidRPr="00F26EA0" w:rsidRDefault="003C6690" w:rsidP="003C6690">
            <w:pPr>
              <w:pStyle w:val="NoSpacing"/>
              <w:rPr>
                <w:sz w:val="24"/>
              </w:rPr>
            </w:pPr>
          </w:p>
        </w:tc>
        <w:tc>
          <w:tcPr>
            <w:tcW w:w="3780" w:type="dxa"/>
          </w:tcPr>
          <w:p w:rsidR="003C6690" w:rsidRPr="00F26EA0" w:rsidRDefault="003C6690" w:rsidP="003C6690">
            <w:pPr>
              <w:pStyle w:val="NoSpacing"/>
              <w:rPr>
                <w:sz w:val="24"/>
              </w:rPr>
            </w:pPr>
          </w:p>
        </w:tc>
        <w:tc>
          <w:tcPr>
            <w:tcW w:w="3690" w:type="dxa"/>
          </w:tcPr>
          <w:p w:rsidR="003C6690" w:rsidRPr="00F26EA0" w:rsidRDefault="003C6690" w:rsidP="003C6690">
            <w:pPr>
              <w:pStyle w:val="NoSpacing"/>
              <w:rPr>
                <w:sz w:val="24"/>
              </w:rPr>
            </w:pPr>
          </w:p>
        </w:tc>
      </w:tr>
      <w:tr w:rsidR="003C6690" w:rsidTr="00F26EA0">
        <w:tc>
          <w:tcPr>
            <w:tcW w:w="9265" w:type="dxa"/>
            <w:gridSpan w:val="4"/>
          </w:tcPr>
          <w:p w:rsidR="003C6690" w:rsidRPr="00F26EA0" w:rsidRDefault="003C6690" w:rsidP="003C6690">
            <w:pPr>
              <w:pStyle w:val="NoSpacing"/>
              <w:jc w:val="center"/>
              <w:rPr>
                <w:b/>
              </w:rPr>
            </w:pPr>
            <w:r w:rsidRPr="00F26EA0">
              <w:rPr>
                <w:b/>
                <w:sz w:val="28"/>
              </w:rPr>
              <w:t>Principles &amp; Practices of Banking (PPB)</w:t>
            </w:r>
          </w:p>
        </w:tc>
      </w:tr>
      <w:tr w:rsidR="003C6690" w:rsidTr="003A09F5">
        <w:tc>
          <w:tcPr>
            <w:tcW w:w="805" w:type="dxa"/>
          </w:tcPr>
          <w:p w:rsidR="003C6690" w:rsidRPr="00F26EA0" w:rsidRDefault="003C6690" w:rsidP="003C6690">
            <w:pPr>
              <w:pStyle w:val="NoSpacing"/>
              <w:rPr>
                <w:sz w:val="24"/>
              </w:rPr>
            </w:pPr>
            <w:r>
              <w:rPr>
                <w:sz w:val="24"/>
              </w:rPr>
              <w:t>1</w:t>
            </w:r>
          </w:p>
        </w:tc>
        <w:tc>
          <w:tcPr>
            <w:tcW w:w="990" w:type="dxa"/>
          </w:tcPr>
          <w:p w:rsidR="003C6690" w:rsidRPr="00F26EA0" w:rsidRDefault="003C6690" w:rsidP="003C6690">
            <w:pPr>
              <w:pStyle w:val="NoSpacing"/>
              <w:rPr>
                <w:sz w:val="24"/>
              </w:rPr>
            </w:pPr>
            <w:r>
              <w:rPr>
                <w:sz w:val="24"/>
              </w:rPr>
              <w:t>514</w:t>
            </w:r>
          </w:p>
        </w:tc>
        <w:tc>
          <w:tcPr>
            <w:tcW w:w="3780" w:type="dxa"/>
          </w:tcPr>
          <w:p w:rsidR="003C6690" w:rsidRDefault="003C6690" w:rsidP="003C6690">
            <w:pPr>
              <w:pStyle w:val="NoSpacing"/>
              <w:rPr>
                <w:sz w:val="24"/>
              </w:rPr>
            </w:pPr>
            <w:r w:rsidRPr="00F26EA0">
              <w:rPr>
                <w:sz w:val="24"/>
                <w:highlight w:val="yellow"/>
              </w:rPr>
              <w:t>29.2.3 – A. (b)</w:t>
            </w:r>
          </w:p>
          <w:p w:rsidR="003C6690" w:rsidRPr="00F26EA0" w:rsidRDefault="003C6690" w:rsidP="003C6690">
            <w:pPr>
              <w:pStyle w:val="NoSpacing"/>
              <w:rPr>
                <w:sz w:val="24"/>
              </w:rPr>
            </w:pPr>
            <w:r w:rsidRPr="00F26EA0">
              <w:rPr>
                <w:b/>
                <w:sz w:val="24"/>
              </w:rPr>
              <w:t>Term of Office</w:t>
            </w:r>
            <w:r w:rsidRPr="00F26EA0">
              <w:rPr>
                <w:sz w:val="24"/>
              </w:rPr>
              <w:t>: The PO holds office for a term of five years from the date on which he assumes his</w:t>
            </w:r>
          </w:p>
          <w:p w:rsidR="003C6690" w:rsidRPr="00F26EA0" w:rsidRDefault="003C6690" w:rsidP="003C6690">
            <w:pPr>
              <w:pStyle w:val="NoSpacing"/>
              <w:rPr>
                <w:sz w:val="24"/>
              </w:rPr>
            </w:pPr>
            <w:r w:rsidRPr="00F26EA0">
              <w:rPr>
                <w:sz w:val="24"/>
              </w:rPr>
              <w:t>office, or until he attains the age of 65 years, whichever is earlier.</w:t>
            </w:r>
          </w:p>
        </w:tc>
        <w:tc>
          <w:tcPr>
            <w:tcW w:w="3690" w:type="dxa"/>
          </w:tcPr>
          <w:p w:rsidR="003C6690" w:rsidRDefault="003C6690" w:rsidP="003C6690">
            <w:pPr>
              <w:pStyle w:val="NoSpacing"/>
              <w:rPr>
                <w:sz w:val="24"/>
              </w:rPr>
            </w:pPr>
            <w:r w:rsidRPr="00F26EA0">
              <w:rPr>
                <w:sz w:val="24"/>
                <w:highlight w:val="yellow"/>
              </w:rPr>
              <w:t>29.2.3 – A.(b)</w:t>
            </w:r>
          </w:p>
          <w:p w:rsidR="003C6690" w:rsidRPr="00F26EA0" w:rsidRDefault="003C6690" w:rsidP="003C6690">
            <w:pPr>
              <w:pStyle w:val="NoSpacing"/>
              <w:rPr>
                <w:sz w:val="24"/>
              </w:rPr>
            </w:pPr>
            <w:r w:rsidRPr="00F26EA0">
              <w:rPr>
                <w:b/>
                <w:sz w:val="24"/>
              </w:rPr>
              <w:t>Term of Office</w:t>
            </w:r>
            <w:r w:rsidRPr="00F26EA0">
              <w:rPr>
                <w:sz w:val="24"/>
              </w:rPr>
              <w:t xml:space="preserve">: The PO holds office for a term of </w:t>
            </w:r>
            <w:r w:rsidRPr="00F26EA0">
              <w:rPr>
                <w:color w:val="FF0000"/>
                <w:sz w:val="24"/>
              </w:rPr>
              <w:t>four</w:t>
            </w:r>
            <w:r w:rsidRPr="00F26EA0">
              <w:rPr>
                <w:sz w:val="24"/>
              </w:rPr>
              <w:t xml:space="preserve"> years from the date on which he assumes his</w:t>
            </w:r>
          </w:p>
          <w:p w:rsidR="003C6690" w:rsidRPr="00F26EA0" w:rsidRDefault="003C6690" w:rsidP="003C6690">
            <w:pPr>
              <w:pStyle w:val="NoSpacing"/>
              <w:rPr>
                <w:sz w:val="24"/>
              </w:rPr>
            </w:pPr>
            <w:r w:rsidRPr="00F26EA0">
              <w:rPr>
                <w:sz w:val="24"/>
              </w:rPr>
              <w:t xml:space="preserve">office, or until he attains the age of </w:t>
            </w:r>
            <w:r w:rsidRPr="00F26EA0">
              <w:rPr>
                <w:color w:val="FF0000"/>
                <w:sz w:val="24"/>
              </w:rPr>
              <w:t>70</w:t>
            </w:r>
            <w:r w:rsidRPr="00F26EA0">
              <w:rPr>
                <w:sz w:val="24"/>
              </w:rPr>
              <w:t xml:space="preserve"> years, whichever is earlier.</w:t>
            </w:r>
          </w:p>
        </w:tc>
      </w:tr>
      <w:tr w:rsidR="003C6690" w:rsidTr="003A09F5">
        <w:tc>
          <w:tcPr>
            <w:tcW w:w="805" w:type="dxa"/>
          </w:tcPr>
          <w:p w:rsidR="003C6690" w:rsidRPr="00F26EA0" w:rsidRDefault="003C6690" w:rsidP="003C6690">
            <w:pPr>
              <w:pStyle w:val="NoSpacing"/>
              <w:rPr>
                <w:sz w:val="24"/>
              </w:rPr>
            </w:pPr>
            <w:r>
              <w:rPr>
                <w:sz w:val="24"/>
              </w:rPr>
              <w:t>2</w:t>
            </w:r>
          </w:p>
        </w:tc>
        <w:tc>
          <w:tcPr>
            <w:tcW w:w="990" w:type="dxa"/>
          </w:tcPr>
          <w:p w:rsidR="003C6690" w:rsidRPr="00F26EA0" w:rsidRDefault="003C6690" w:rsidP="003C6690">
            <w:pPr>
              <w:pStyle w:val="NoSpacing"/>
              <w:rPr>
                <w:sz w:val="24"/>
              </w:rPr>
            </w:pPr>
            <w:r>
              <w:rPr>
                <w:sz w:val="24"/>
              </w:rPr>
              <w:t>528</w:t>
            </w:r>
          </w:p>
        </w:tc>
        <w:tc>
          <w:tcPr>
            <w:tcW w:w="3780" w:type="dxa"/>
          </w:tcPr>
          <w:p w:rsidR="003C6690" w:rsidRDefault="003C6690" w:rsidP="003C6690">
            <w:pPr>
              <w:pStyle w:val="NoSpacing"/>
              <w:rPr>
                <w:sz w:val="24"/>
              </w:rPr>
            </w:pPr>
            <w:r w:rsidRPr="004530C2">
              <w:rPr>
                <w:sz w:val="24"/>
                <w:highlight w:val="yellow"/>
              </w:rPr>
              <w:t>29.3.2 – (a) (ii)</w:t>
            </w:r>
          </w:p>
          <w:p w:rsidR="003C6690" w:rsidRPr="00F26EA0" w:rsidRDefault="003C6690" w:rsidP="003C6690">
            <w:pPr>
              <w:pStyle w:val="NoSpacing"/>
              <w:rPr>
                <w:sz w:val="24"/>
              </w:rPr>
            </w:pPr>
            <w:r w:rsidRPr="003A09F5">
              <w:rPr>
                <w:sz w:val="24"/>
              </w:rPr>
              <w:t>It has Net o</w:t>
            </w:r>
            <w:r>
              <w:rPr>
                <w:sz w:val="24"/>
              </w:rPr>
              <w:t xml:space="preserve">wned funds (NOF) not less than Rs. </w:t>
            </w:r>
            <w:r w:rsidRPr="003A09F5">
              <w:rPr>
                <w:sz w:val="24"/>
              </w:rPr>
              <w:t>100 crore on an ongoing basis</w:t>
            </w:r>
            <w:r>
              <w:rPr>
                <w:sz w:val="24"/>
              </w:rPr>
              <w:t>.</w:t>
            </w:r>
          </w:p>
        </w:tc>
        <w:tc>
          <w:tcPr>
            <w:tcW w:w="3690" w:type="dxa"/>
          </w:tcPr>
          <w:p w:rsidR="003C6690" w:rsidRDefault="003C6690" w:rsidP="003C6690">
            <w:pPr>
              <w:pStyle w:val="NoSpacing"/>
              <w:rPr>
                <w:sz w:val="24"/>
              </w:rPr>
            </w:pPr>
            <w:r w:rsidRPr="004530C2">
              <w:rPr>
                <w:sz w:val="24"/>
                <w:highlight w:val="yellow"/>
              </w:rPr>
              <w:t>29.3.2 – (a) (ii)</w:t>
            </w:r>
          </w:p>
          <w:p w:rsidR="003C6690" w:rsidRPr="00F26EA0" w:rsidRDefault="003C6690" w:rsidP="003C6690">
            <w:pPr>
              <w:pStyle w:val="NoSpacing"/>
              <w:rPr>
                <w:sz w:val="24"/>
              </w:rPr>
            </w:pPr>
            <w:r w:rsidRPr="003A09F5">
              <w:rPr>
                <w:sz w:val="24"/>
              </w:rPr>
              <w:t>It has Net o</w:t>
            </w:r>
            <w:r>
              <w:rPr>
                <w:sz w:val="24"/>
              </w:rPr>
              <w:t xml:space="preserve">wned funds (NOF) not less than </w:t>
            </w:r>
            <w:r w:rsidRPr="003A09F5">
              <w:rPr>
                <w:color w:val="FF0000"/>
                <w:sz w:val="24"/>
              </w:rPr>
              <w:t>Rs. 300</w:t>
            </w:r>
            <w:r w:rsidRPr="003A09F5">
              <w:rPr>
                <w:sz w:val="24"/>
              </w:rPr>
              <w:t xml:space="preserve"> crore on an ongoing basis</w:t>
            </w:r>
            <w:r>
              <w:rPr>
                <w:sz w:val="24"/>
              </w:rPr>
              <w:t xml:space="preserve">. </w:t>
            </w:r>
            <w:r w:rsidRPr="003A09F5">
              <w:rPr>
                <w:color w:val="FF0000"/>
                <w:sz w:val="24"/>
              </w:rPr>
              <w:t>An ARC obtaining the certificate of registration on or after October 11, 2022, shall commence the business of securitisation or asset reconstruction having minimum NOF of ₹300 crore.</w:t>
            </w:r>
          </w:p>
        </w:tc>
      </w:tr>
      <w:tr w:rsidR="003C6690" w:rsidTr="003A09F5">
        <w:tc>
          <w:tcPr>
            <w:tcW w:w="805" w:type="dxa"/>
          </w:tcPr>
          <w:p w:rsidR="003C6690" w:rsidRPr="00F26EA0" w:rsidRDefault="003C6690" w:rsidP="003C6690">
            <w:pPr>
              <w:pStyle w:val="NoSpacing"/>
              <w:rPr>
                <w:sz w:val="24"/>
              </w:rPr>
            </w:pPr>
            <w:r>
              <w:rPr>
                <w:sz w:val="24"/>
              </w:rPr>
              <w:lastRenderedPageBreak/>
              <w:t>3</w:t>
            </w:r>
          </w:p>
        </w:tc>
        <w:tc>
          <w:tcPr>
            <w:tcW w:w="990" w:type="dxa"/>
          </w:tcPr>
          <w:p w:rsidR="003C6690" w:rsidRPr="00F26EA0" w:rsidRDefault="003C6690" w:rsidP="003C6690">
            <w:pPr>
              <w:pStyle w:val="NoSpacing"/>
              <w:rPr>
                <w:sz w:val="24"/>
              </w:rPr>
            </w:pPr>
            <w:r>
              <w:rPr>
                <w:sz w:val="24"/>
              </w:rPr>
              <w:t>678</w:t>
            </w:r>
          </w:p>
        </w:tc>
        <w:tc>
          <w:tcPr>
            <w:tcW w:w="3780" w:type="dxa"/>
          </w:tcPr>
          <w:p w:rsidR="003C6690" w:rsidRPr="004530C2" w:rsidRDefault="003C6690" w:rsidP="003C6690">
            <w:pPr>
              <w:pStyle w:val="NoSpacing"/>
              <w:rPr>
                <w:sz w:val="24"/>
              </w:rPr>
            </w:pPr>
            <w:r>
              <w:rPr>
                <w:sz w:val="24"/>
              </w:rPr>
              <w:t xml:space="preserve">(g) </w:t>
            </w:r>
            <w:r w:rsidRPr="004530C2">
              <w:rPr>
                <w:sz w:val="24"/>
              </w:rPr>
              <w:t>Guidelines / instructions pertaining to SME Debt Restructuring, issued to scheduled commercial</w:t>
            </w:r>
          </w:p>
          <w:p w:rsidR="003C6690" w:rsidRPr="00F26EA0" w:rsidRDefault="003C6690" w:rsidP="003C6690">
            <w:pPr>
              <w:pStyle w:val="NoSpacing"/>
              <w:rPr>
                <w:sz w:val="24"/>
              </w:rPr>
            </w:pPr>
            <w:r w:rsidRPr="004530C2">
              <w:rPr>
                <w:sz w:val="24"/>
              </w:rPr>
              <w:t>banks in July, 2015 as updated from time to time are to be adopted</w:t>
            </w:r>
          </w:p>
        </w:tc>
        <w:tc>
          <w:tcPr>
            <w:tcW w:w="3690" w:type="dxa"/>
          </w:tcPr>
          <w:p w:rsidR="003C6690" w:rsidRPr="004530C2" w:rsidRDefault="003C6690" w:rsidP="003C6690">
            <w:pPr>
              <w:pStyle w:val="NoSpacing"/>
              <w:rPr>
                <w:sz w:val="24"/>
              </w:rPr>
            </w:pPr>
            <w:r>
              <w:rPr>
                <w:sz w:val="24"/>
              </w:rPr>
              <w:t xml:space="preserve">(g) </w:t>
            </w:r>
            <w:r w:rsidRPr="004530C2">
              <w:rPr>
                <w:sz w:val="24"/>
              </w:rPr>
              <w:t>Guidelines / instructions pertaining to SME Debt Restructuring, issued to scheduled commercial</w:t>
            </w:r>
          </w:p>
          <w:p w:rsidR="003C6690" w:rsidRPr="00F26EA0" w:rsidRDefault="003C6690" w:rsidP="003C6690">
            <w:pPr>
              <w:pStyle w:val="NoSpacing"/>
              <w:rPr>
                <w:sz w:val="24"/>
              </w:rPr>
            </w:pPr>
            <w:r w:rsidRPr="004530C2">
              <w:rPr>
                <w:sz w:val="24"/>
              </w:rPr>
              <w:t xml:space="preserve">banks in </w:t>
            </w:r>
            <w:r w:rsidRPr="004530C2">
              <w:rPr>
                <w:color w:val="FF0000"/>
                <w:sz w:val="24"/>
              </w:rPr>
              <w:t>August, 2020</w:t>
            </w:r>
            <w:r w:rsidRPr="004530C2">
              <w:rPr>
                <w:sz w:val="24"/>
              </w:rPr>
              <w:t xml:space="preserve"> as updated from time to time are to be adopted</w:t>
            </w:r>
          </w:p>
        </w:tc>
      </w:tr>
      <w:tr w:rsidR="003C6690" w:rsidTr="003A09F5">
        <w:tc>
          <w:tcPr>
            <w:tcW w:w="805" w:type="dxa"/>
          </w:tcPr>
          <w:p w:rsidR="003C6690" w:rsidRPr="00F26EA0" w:rsidRDefault="003C6690" w:rsidP="003C6690">
            <w:pPr>
              <w:pStyle w:val="NoSpacing"/>
              <w:rPr>
                <w:sz w:val="24"/>
              </w:rPr>
            </w:pPr>
          </w:p>
        </w:tc>
        <w:tc>
          <w:tcPr>
            <w:tcW w:w="990" w:type="dxa"/>
          </w:tcPr>
          <w:p w:rsidR="003C6690" w:rsidRPr="00F26EA0" w:rsidRDefault="003C6690" w:rsidP="003C6690">
            <w:pPr>
              <w:pStyle w:val="NoSpacing"/>
              <w:rPr>
                <w:sz w:val="24"/>
              </w:rPr>
            </w:pPr>
          </w:p>
        </w:tc>
        <w:tc>
          <w:tcPr>
            <w:tcW w:w="3780" w:type="dxa"/>
          </w:tcPr>
          <w:p w:rsidR="003C6690" w:rsidRPr="00F26EA0" w:rsidRDefault="003C6690" w:rsidP="003C6690">
            <w:pPr>
              <w:pStyle w:val="NoSpacing"/>
              <w:rPr>
                <w:sz w:val="24"/>
              </w:rPr>
            </w:pPr>
          </w:p>
        </w:tc>
        <w:tc>
          <w:tcPr>
            <w:tcW w:w="3690" w:type="dxa"/>
          </w:tcPr>
          <w:p w:rsidR="003C6690" w:rsidRPr="00F26EA0" w:rsidRDefault="003C6690" w:rsidP="003C6690">
            <w:pPr>
              <w:pStyle w:val="NoSpacing"/>
              <w:rPr>
                <w:sz w:val="24"/>
              </w:rPr>
            </w:pPr>
          </w:p>
        </w:tc>
      </w:tr>
      <w:tr w:rsidR="003C6690" w:rsidTr="003A09F5">
        <w:tc>
          <w:tcPr>
            <w:tcW w:w="805" w:type="dxa"/>
          </w:tcPr>
          <w:p w:rsidR="003C6690" w:rsidRPr="00F26EA0" w:rsidRDefault="003C6690" w:rsidP="003C6690">
            <w:pPr>
              <w:pStyle w:val="NoSpacing"/>
              <w:rPr>
                <w:sz w:val="24"/>
              </w:rPr>
            </w:pPr>
          </w:p>
        </w:tc>
        <w:tc>
          <w:tcPr>
            <w:tcW w:w="990" w:type="dxa"/>
          </w:tcPr>
          <w:p w:rsidR="003C6690" w:rsidRPr="00F26EA0" w:rsidRDefault="003C6690" w:rsidP="003C6690">
            <w:pPr>
              <w:pStyle w:val="NoSpacing"/>
              <w:rPr>
                <w:sz w:val="24"/>
              </w:rPr>
            </w:pPr>
          </w:p>
        </w:tc>
        <w:tc>
          <w:tcPr>
            <w:tcW w:w="3780" w:type="dxa"/>
          </w:tcPr>
          <w:p w:rsidR="003C6690" w:rsidRPr="00F26EA0" w:rsidRDefault="003C6690" w:rsidP="003C6690">
            <w:pPr>
              <w:pStyle w:val="NoSpacing"/>
              <w:rPr>
                <w:sz w:val="24"/>
              </w:rPr>
            </w:pPr>
          </w:p>
        </w:tc>
        <w:tc>
          <w:tcPr>
            <w:tcW w:w="3690" w:type="dxa"/>
          </w:tcPr>
          <w:p w:rsidR="003C6690" w:rsidRPr="00F26EA0" w:rsidRDefault="003C6690" w:rsidP="003C6690">
            <w:pPr>
              <w:pStyle w:val="NoSpacing"/>
              <w:rPr>
                <w:sz w:val="24"/>
              </w:rPr>
            </w:pPr>
          </w:p>
        </w:tc>
      </w:tr>
      <w:tr w:rsidR="003C6690" w:rsidTr="003A09F5">
        <w:tc>
          <w:tcPr>
            <w:tcW w:w="805" w:type="dxa"/>
          </w:tcPr>
          <w:p w:rsidR="003C6690" w:rsidRPr="00F26EA0" w:rsidRDefault="003C6690" w:rsidP="003C6690">
            <w:pPr>
              <w:pStyle w:val="NoSpacing"/>
              <w:rPr>
                <w:sz w:val="24"/>
              </w:rPr>
            </w:pPr>
          </w:p>
        </w:tc>
        <w:tc>
          <w:tcPr>
            <w:tcW w:w="990" w:type="dxa"/>
          </w:tcPr>
          <w:p w:rsidR="003C6690" w:rsidRPr="00F26EA0" w:rsidRDefault="003C6690" w:rsidP="003C6690">
            <w:pPr>
              <w:pStyle w:val="NoSpacing"/>
              <w:rPr>
                <w:sz w:val="24"/>
              </w:rPr>
            </w:pPr>
          </w:p>
        </w:tc>
        <w:tc>
          <w:tcPr>
            <w:tcW w:w="3780" w:type="dxa"/>
          </w:tcPr>
          <w:p w:rsidR="003C6690" w:rsidRPr="00F26EA0" w:rsidRDefault="003C6690" w:rsidP="003C6690">
            <w:pPr>
              <w:pStyle w:val="NoSpacing"/>
              <w:rPr>
                <w:sz w:val="24"/>
              </w:rPr>
            </w:pPr>
          </w:p>
        </w:tc>
        <w:tc>
          <w:tcPr>
            <w:tcW w:w="3690" w:type="dxa"/>
          </w:tcPr>
          <w:p w:rsidR="003C6690" w:rsidRPr="00F26EA0" w:rsidRDefault="003C6690" w:rsidP="003C6690">
            <w:pPr>
              <w:pStyle w:val="NoSpacing"/>
              <w:rPr>
                <w:sz w:val="24"/>
              </w:rPr>
            </w:pPr>
          </w:p>
        </w:tc>
      </w:tr>
      <w:tr w:rsidR="003C6690" w:rsidTr="003A09F5">
        <w:tc>
          <w:tcPr>
            <w:tcW w:w="805" w:type="dxa"/>
          </w:tcPr>
          <w:p w:rsidR="003C6690" w:rsidRPr="00F26EA0" w:rsidRDefault="003C6690" w:rsidP="003C6690">
            <w:pPr>
              <w:pStyle w:val="NoSpacing"/>
              <w:rPr>
                <w:sz w:val="24"/>
              </w:rPr>
            </w:pPr>
          </w:p>
        </w:tc>
        <w:tc>
          <w:tcPr>
            <w:tcW w:w="990" w:type="dxa"/>
          </w:tcPr>
          <w:p w:rsidR="003C6690" w:rsidRPr="00F26EA0" w:rsidRDefault="003C6690" w:rsidP="003C6690">
            <w:pPr>
              <w:pStyle w:val="NoSpacing"/>
              <w:rPr>
                <w:sz w:val="24"/>
              </w:rPr>
            </w:pPr>
          </w:p>
        </w:tc>
        <w:tc>
          <w:tcPr>
            <w:tcW w:w="3780" w:type="dxa"/>
          </w:tcPr>
          <w:p w:rsidR="003C6690" w:rsidRPr="00F26EA0" w:rsidRDefault="003C6690" w:rsidP="003C6690">
            <w:pPr>
              <w:pStyle w:val="NoSpacing"/>
              <w:rPr>
                <w:sz w:val="24"/>
              </w:rPr>
            </w:pPr>
          </w:p>
        </w:tc>
        <w:tc>
          <w:tcPr>
            <w:tcW w:w="3690" w:type="dxa"/>
          </w:tcPr>
          <w:p w:rsidR="003C6690" w:rsidRPr="00F26EA0" w:rsidRDefault="003C6690" w:rsidP="003C6690">
            <w:pPr>
              <w:pStyle w:val="NoSpacing"/>
              <w:rPr>
                <w:sz w:val="24"/>
              </w:rPr>
            </w:pPr>
          </w:p>
        </w:tc>
      </w:tr>
      <w:tr w:rsidR="003C6690" w:rsidTr="00E62F2A">
        <w:tc>
          <w:tcPr>
            <w:tcW w:w="9265" w:type="dxa"/>
            <w:gridSpan w:val="4"/>
          </w:tcPr>
          <w:p w:rsidR="003C6690" w:rsidRPr="00F6604E" w:rsidRDefault="003C6690" w:rsidP="003C6690">
            <w:pPr>
              <w:pStyle w:val="NoSpacing"/>
              <w:jc w:val="center"/>
              <w:rPr>
                <w:b/>
                <w:sz w:val="24"/>
              </w:rPr>
            </w:pPr>
            <w:r w:rsidRPr="00F6604E">
              <w:rPr>
                <w:b/>
                <w:sz w:val="28"/>
              </w:rPr>
              <w:t>Retail Banking &amp; Wealth Management</w:t>
            </w:r>
          </w:p>
        </w:tc>
      </w:tr>
      <w:tr w:rsidR="003C6690" w:rsidTr="003A09F5">
        <w:tc>
          <w:tcPr>
            <w:tcW w:w="805" w:type="dxa"/>
          </w:tcPr>
          <w:p w:rsidR="003C6690" w:rsidRPr="00F26EA0" w:rsidRDefault="003C6690" w:rsidP="003C6690">
            <w:pPr>
              <w:pStyle w:val="NoSpacing"/>
              <w:rPr>
                <w:sz w:val="24"/>
              </w:rPr>
            </w:pPr>
            <w:r>
              <w:rPr>
                <w:sz w:val="24"/>
              </w:rPr>
              <w:t>1</w:t>
            </w:r>
          </w:p>
        </w:tc>
        <w:tc>
          <w:tcPr>
            <w:tcW w:w="990" w:type="dxa"/>
          </w:tcPr>
          <w:p w:rsidR="003C6690" w:rsidRPr="00F26EA0" w:rsidRDefault="003C6690" w:rsidP="003C6690">
            <w:pPr>
              <w:pStyle w:val="NoSpacing"/>
              <w:rPr>
                <w:sz w:val="24"/>
              </w:rPr>
            </w:pPr>
            <w:r>
              <w:rPr>
                <w:sz w:val="24"/>
              </w:rPr>
              <w:t>147</w:t>
            </w:r>
          </w:p>
        </w:tc>
        <w:tc>
          <w:tcPr>
            <w:tcW w:w="3780" w:type="dxa"/>
          </w:tcPr>
          <w:p w:rsidR="003C6690" w:rsidRPr="00F6604E" w:rsidRDefault="003C6690" w:rsidP="003C6690">
            <w:pPr>
              <w:pStyle w:val="NoSpacing"/>
              <w:rPr>
                <w:sz w:val="24"/>
              </w:rPr>
            </w:pPr>
            <w:r w:rsidRPr="00F6604E">
              <w:rPr>
                <w:sz w:val="24"/>
              </w:rPr>
              <w:t>As per latest RBI guidelines, the current accounts for the following categories of non</w:t>
            </w:r>
            <w:r>
              <w:rPr>
                <w:sz w:val="24"/>
              </w:rPr>
              <w:t>-</w:t>
            </w:r>
            <w:r w:rsidRPr="00F6604E">
              <w:rPr>
                <w:sz w:val="24"/>
              </w:rPr>
              <w:t>individual</w:t>
            </w:r>
          </w:p>
          <w:p w:rsidR="003C6690" w:rsidRPr="00F26EA0" w:rsidRDefault="003C6690" w:rsidP="003C6690">
            <w:pPr>
              <w:pStyle w:val="NoSpacing"/>
              <w:rPr>
                <w:sz w:val="24"/>
              </w:rPr>
            </w:pPr>
            <w:r w:rsidRPr="00F6604E">
              <w:rPr>
                <w:sz w:val="24"/>
              </w:rPr>
              <w:t>entities cannot be opened:</w:t>
            </w:r>
          </w:p>
        </w:tc>
        <w:tc>
          <w:tcPr>
            <w:tcW w:w="3690" w:type="dxa"/>
          </w:tcPr>
          <w:p w:rsidR="003C6690" w:rsidRPr="00F6604E" w:rsidRDefault="003C6690" w:rsidP="003C6690">
            <w:pPr>
              <w:pStyle w:val="NoSpacing"/>
              <w:rPr>
                <w:sz w:val="24"/>
              </w:rPr>
            </w:pPr>
            <w:r w:rsidRPr="00F6604E">
              <w:rPr>
                <w:sz w:val="24"/>
              </w:rPr>
              <w:t xml:space="preserve">As per latest RBI guidelines, the </w:t>
            </w:r>
            <w:r w:rsidRPr="00F6604E">
              <w:rPr>
                <w:color w:val="FF0000"/>
                <w:sz w:val="24"/>
              </w:rPr>
              <w:t xml:space="preserve">savings bank </w:t>
            </w:r>
            <w:r w:rsidRPr="00F6604E">
              <w:rPr>
                <w:sz w:val="24"/>
              </w:rPr>
              <w:t>accounts for the following categories of non</w:t>
            </w:r>
            <w:r>
              <w:rPr>
                <w:sz w:val="24"/>
              </w:rPr>
              <w:t>-</w:t>
            </w:r>
            <w:r w:rsidRPr="00F6604E">
              <w:rPr>
                <w:sz w:val="24"/>
              </w:rPr>
              <w:t>individual</w:t>
            </w:r>
          </w:p>
          <w:p w:rsidR="003C6690" w:rsidRPr="00F26EA0" w:rsidRDefault="003C6690" w:rsidP="003C6690">
            <w:pPr>
              <w:pStyle w:val="NoSpacing"/>
              <w:rPr>
                <w:sz w:val="24"/>
              </w:rPr>
            </w:pPr>
            <w:r w:rsidRPr="00F6604E">
              <w:rPr>
                <w:sz w:val="24"/>
              </w:rPr>
              <w:t>entities cannot be opened:</w:t>
            </w:r>
          </w:p>
        </w:tc>
      </w:tr>
      <w:tr w:rsidR="003C6690" w:rsidTr="003A09F5">
        <w:tc>
          <w:tcPr>
            <w:tcW w:w="805" w:type="dxa"/>
          </w:tcPr>
          <w:p w:rsidR="003C6690" w:rsidRPr="00F26EA0" w:rsidRDefault="00373519" w:rsidP="003C6690">
            <w:pPr>
              <w:pStyle w:val="NoSpacing"/>
              <w:rPr>
                <w:sz w:val="24"/>
              </w:rPr>
            </w:pPr>
            <w:r>
              <w:rPr>
                <w:sz w:val="24"/>
              </w:rPr>
              <w:t>2</w:t>
            </w:r>
          </w:p>
        </w:tc>
        <w:tc>
          <w:tcPr>
            <w:tcW w:w="990" w:type="dxa"/>
          </w:tcPr>
          <w:p w:rsidR="003C6690" w:rsidRPr="00F26EA0" w:rsidRDefault="00CC675A" w:rsidP="003C6690">
            <w:pPr>
              <w:pStyle w:val="NoSpacing"/>
              <w:rPr>
                <w:sz w:val="24"/>
              </w:rPr>
            </w:pPr>
            <w:r>
              <w:rPr>
                <w:sz w:val="24"/>
              </w:rPr>
              <w:t>178</w:t>
            </w:r>
          </w:p>
        </w:tc>
        <w:tc>
          <w:tcPr>
            <w:tcW w:w="3780" w:type="dxa"/>
          </w:tcPr>
          <w:p w:rsidR="003C6690" w:rsidRDefault="00CC675A" w:rsidP="003C6690">
            <w:pPr>
              <w:pStyle w:val="NoSpacing"/>
              <w:rPr>
                <w:sz w:val="24"/>
              </w:rPr>
            </w:pPr>
            <w:r>
              <w:rPr>
                <w:sz w:val="24"/>
              </w:rPr>
              <w:t>Security</w:t>
            </w:r>
          </w:p>
          <w:p w:rsidR="00CC675A" w:rsidRPr="00F26EA0" w:rsidRDefault="00CC675A" w:rsidP="003C6690">
            <w:pPr>
              <w:pStyle w:val="NoSpacing"/>
              <w:rPr>
                <w:sz w:val="24"/>
              </w:rPr>
            </w:pPr>
            <w:r>
              <w:rPr>
                <w:sz w:val="24"/>
              </w:rPr>
              <w:t>Upto Rs. 4 Lakh-no security; parents to be joint borrower(s)</w:t>
            </w:r>
          </w:p>
        </w:tc>
        <w:tc>
          <w:tcPr>
            <w:tcW w:w="3690" w:type="dxa"/>
          </w:tcPr>
          <w:p w:rsidR="003C6690" w:rsidRDefault="00CC675A" w:rsidP="003C6690">
            <w:pPr>
              <w:pStyle w:val="NoSpacing"/>
              <w:rPr>
                <w:sz w:val="24"/>
              </w:rPr>
            </w:pPr>
            <w:r>
              <w:rPr>
                <w:sz w:val="24"/>
              </w:rPr>
              <w:t>Security</w:t>
            </w:r>
          </w:p>
          <w:p w:rsidR="00CC675A" w:rsidRPr="00F26EA0" w:rsidRDefault="00CC675A" w:rsidP="003C6690">
            <w:pPr>
              <w:pStyle w:val="NoSpacing"/>
              <w:rPr>
                <w:sz w:val="24"/>
              </w:rPr>
            </w:pPr>
            <w:r>
              <w:rPr>
                <w:sz w:val="24"/>
              </w:rPr>
              <w:t>Upto Rs. 7.5 Lakh-no security; parent(s)/ guardian(s) to be joint borrowers</w:t>
            </w:r>
          </w:p>
        </w:tc>
      </w:tr>
      <w:tr w:rsidR="003C6690" w:rsidTr="003A09F5">
        <w:tc>
          <w:tcPr>
            <w:tcW w:w="805" w:type="dxa"/>
          </w:tcPr>
          <w:p w:rsidR="003C6690" w:rsidRPr="00F26EA0" w:rsidRDefault="002E094A" w:rsidP="003C6690">
            <w:pPr>
              <w:pStyle w:val="NoSpacing"/>
              <w:rPr>
                <w:sz w:val="24"/>
              </w:rPr>
            </w:pPr>
            <w:r>
              <w:rPr>
                <w:sz w:val="24"/>
              </w:rPr>
              <w:t>3</w:t>
            </w:r>
          </w:p>
        </w:tc>
        <w:tc>
          <w:tcPr>
            <w:tcW w:w="990" w:type="dxa"/>
          </w:tcPr>
          <w:p w:rsidR="003C6690" w:rsidRPr="00F26EA0" w:rsidRDefault="002E094A" w:rsidP="003C6690">
            <w:pPr>
              <w:pStyle w:val="NoSpacing"/>
              <w:rPr>
                <w:sz w:val="24"/>
              </w:rPr>
            </w:pPr>
            <w:r>
              <w:rPr>
                <w:sz w:val="24"/>
              </w:rPr>
              <w:t>220</w:t>
            </w:r>
          </w:p>
        </w:tc>
        <w:tc>
          <w:tcPr>
            <w:tcW w:w="3780" w:type="dxa"/>
          </w:tcPr>
          <w:p w:rsidR="003C6690" w:rsidRPr="00F26EA0" w:rsidRDefault="002E094A" w:rsidP="002E094A">
            <w:pPr>
              <w:pStyle w:val="NoSpacing"/>
              <w:rPr>
                <w:sz w:val="24"/>
              </w:rPr>
            </w:pPr>
            <w:r>
              <w:rPr>
                <w:sz w:val="24"/>
              </w:rPr>
              <w:t xml:space="preserve">8) In the event of any delay in the completion of the Funds Transfer or any loss on account of error in the execution of the Funds Transfer pursuant to a payment instruction, the bank’s liability shall be limited to the extent of payment of interest at the Bank Rate for the period of delay in the case of delayed payment and refund of the amount together with interest at the Bank Rate upto the </w:t>
            </w:r>
            <w:r w:rsidR="00585143">
              <w:rPr>
                <w:sz w:val="24"/>
              </w:rPr>
              <w:t>date of refund, in the event of loss on account of error, negligence or fraud on the part of any employee of the bank.</w:t>
            </w:r>
          </w:p>
        </w:tc>
        <w:tc>
          <w:tcPr>
            <w:tcW w:w="3690" w:type="dxa"/>
          </w:tcPr>
          <w:p w:rsidR="003C6690" w:rsidRPr="00F26EA0" w:rsidRDefault="00585143" w:rsidP="003C6690">
            <w:pPr>
              <w:pStyle w:val="NoSpacing"/>
              <w:rPr>
                <w:sz w:val="24"/>
              </w:rPr>
            </w:pPr>
            <w:r>
              <w:rPr>
                <w:sz w:val="24"/>
              </w:rPr>
              <w:t xml:space="preserve">8) </w:t>
            </w:r>
            <w:r w:rsidRPr="00585143">
              <w:rPr>
                <w:sz w:val="24"/>
              </w:rPr>
              <w:t>If the NEFT transaction is not credited or returned within two hours after batch settlement, then the bank is liable to pay penal interest to the affected customer at the current RBI LAF Repo Rate plus two percent for the period of delay / till the date of credit or refund, as the case may be, is afforded to the customers’ account without waiting for a specific claim to be lodged by the customer in this regard.</w:t>
            </w:r>
          </w:p>
        </w:tc>
      </w:tr>
      <w:tr w:rsidR="003C6690" w:rsidTr="003A09F5">
        <w:tc>
          <w:tcPr>
            <w:tcW w:w="805" w:type="dxa"/>
          </w:tcPr>
          <w:p w:rsidR="003C6690" w:rsidRPr="00F26EA0" w:rsidRDefault="00C92CF7" w:rsidP="003C6690">
            <w:pPr>
              <w:pStyle w:val="NoSpacing"/>
              <w:rPr>
                <w:sz w:val="24"/>
              </w:rPr>
            </w:pPr>
            <w:r>
              <w:rPr>
                <w:sz w:val="24"/>
              </w:rPr>
              <w:t>4</w:t>
            </w:r>
          </w:p>
        </w:tc>
        <w:tc>
          <w:tcPr>
            <w:tcW w:w="990" w:type="dxa"/>
          </w:tcPr>
          <w:p w:rsidR="003C6690" w:rsidRPr="00F26EA0" w:rsidRDefault="00C92CF7" w:rsidP="003C6690">
            <w:pPr>
              <w:pStyle w:val="NoSpacing"/>
              <w:rPr>
                <w:sz w:val="24"/>
              </w:rPr>
            </w:pPr>
            <w:r>
              <w:rPr>
                <w:sz w:val="24"/>
              </w:rPr>
              <w:t>366</w:t>
            </w:r>
          </w:p>
        </w:tc>
        <w:tc>
          <w:tcPr>
            <w:tcW w:w="3780" w:type="dxa"/>
          </w:tcPr>
          <w:p w:rsidR="003C6690" w:rsidRDefault="00C92CF7" w:rsidP="003C6690">
            <w:pPr>
              <w:pStyle w:val="NoSpacing"/>
              <w:rPr>
                <w:sz w:val="24"/>
              </w:rPr>
            </w:pPr>
            <w:r>
              <w:rPr>
                <w:sz w:val="24"/>
              </w:rPr>
              <w:t xml:space="preserve">18.5) </w:t>
            </w:r>
            <w:proofErr w:type="spellStart"/>
            <w:r>
              <w:rPr>
                <w:sz w:val="24"/>
              </w:rPr>
              <w:t>PoS</w:t>
            </w:r>
            <w:proofErr w:type="spellEnd"/>
            <w:r>
              <w:rPr>
                <w:sz w:val="24"/>
              </w:rPr>
              <w:t>-Process</w:t>
            </w:r>
          </w:p>
          <w:p w:rsidR="00C92CF7" w:rsidRDefault="00C92CF7" w:rsidP="003C6690">
            <w:pPr>
              <w:pStyle w:val="NoSpacing"/>
              <w:rPr>
                <w:sz w:val="24"/>
              </w:rPr>
            </w:pPr>
          </w:p>
          <w:p w:rsidR="00C92CF7" w:rsidRPr="00F26EA0" w:rsidRDefault="00BC7A34" w:rsidP="00C92CF7">
            <w:pPr>
              <w:pStyle w:val="NoSpacing"/>
              <w:rPr>
                <w:sz w:val="24"/>
              </w:rPr>
            </w:pPr>
            <w:r>
              <w:rPr>
                <w:sz w:val="24"/>
              </w:rPr>
              <w:t>In July 2008 RBI h</w:t>
            </w:r>
            <w:r w:rsidR="00C92CF7">
              <w:rPr>
                <w:sz w:val="24"/>
              </w:rPr>
              <w:t xml:space="preserve">as allowed cash to be withdrawn from any merchant establishment with a </w:t>
            </w:r>
            <w:proofErr w:type="spellStart"/>
            <w:r w:rsidR="00C92CF7">
              <w:rPr>
                <w:sz w:val="24"/>
              </w:rPr>
              <w:t>PoS</w:t>
            </w:r>
            <w:proofErr w:type="spellEnd"/>
            <w:r w:rsidR="00C92CF7">
              <w:rPr>
                <w:sz w:val="24"/>
              </w:rPr>
              <w:t xml:space="preserve"> terminal upto a ceiling of Rs. 1000/- irrespective of type of centres. Subsequently the limit was enhanced for cash withdrawal at </w:t>
            </w:r>
            <w:proofErr w:type="spellStart"/>
            <w:r w:rsidR="00C92CF7">
              <w:rPr>
                <w:sz w:val="24"/>
              </w:rPr>
              <w:t>PoS</w:t>
            </w:r>
            <w:proofErr w:type="spellEnd"/>
            <w:r w:rsidR="00C92CF7">
              <w:rPr>
                <w:sz w:val="24"/>
              </w:rPr>
              <w:t xml:space="preserve"> (for debit cards and open system prepaid cards issued by banks in India) from Rs. 1000/- to Rs. 2000/- per day in Tier-III to Tier-</w:t>
            </w:r>
            <w:r w:rsidR="00C92CF7">
              <w:rPr>
                <w:sz w:val="24"/>
              </w:rPr>
              <w:lastRenderedPageBreak/>
              <w:t>VI centres. The per day limit in Tier I and II centres remains unchanged (Rs. 1000/- only) for the present.</w:t>
            </w:r>
          </w:p>
        </w:tc>
        <w:tc>
          <w:tcPr>
            <w:tcW w:w="3690" w:type="dxa"/>
          </w:tcPr>
          <w:p w:rsidR="003C6690" w:rsidRDefault="003C6690" w:rsidP="003C6690">
            <w:pPr>
              <w:pStyle w:val="NoSpacing"/>
              <w:rPr>
                <w:sz w:val="24"/>
              </w:rPr>
            </w:pPr>
          </w:p>
          <w:p w:rsidR="00BC7A34" w:rsidRPr="00F26EA0" w:rsidRDefault="00BC7A34" w:rsidP="00BC7A34">
            <w:pPr>
              <w:pStyle w:val="NoSpacing"/>
              <w:rPr>
                <w:sz w:val="24"/>
              </w:rPr>
            </w:pPr>
            <w:r w:rsidRPr="00BC7A34">
              <w:rPr>
                <w:sz w:val="24"/>
              </w:rPr>
              <w:t>The cash withdrawal limit from Points of Sale (</w:t>
            </w:r>
            <w:proofErr w:type="spellStart"/>
            <w:r w:rsidRPr="00BC7A34">
              <w:rPr>
                <w:sz w:val="24"/>
              </w:rPr>
              <w:t>PoS</w:t>
            </w:r>
            <w:proofErr w:type="spellEnd"/>
            <w:r w:rsidRPr="00BC7A34">
              <w:rPr>
                <w:sz w:val="24"/>
              </w:rPr>
              <w:t xml:space="preserve">) terminals using debit cards and open system prepaid cards issued by banks in India </w:t>
            </w:r>
            <w:r>
              <w:rPr>
                <w:sz w:val="24"/>
              </w:rPr>
              <w:t>has</w:t>
            </w:r>
            <w:r w:rsidRPr="00BC7A34">
              <w:rPr>
                <w:sz w:val="24"/>
              </w:rPr>
              <w:t xml:space="preserve"> been rationalised to ₹2,000 per transaction within an overall monthly limit of ₹10,000 across all locations (Tier 1 to 6 centres).</w:t>
            </w:r>
          </w:p>
        </w:tc>
      </w:tr>
      <w:tr w:rsidR="00DD4FBF" w:rsidTr="003A09F5">
        <w:tc>
          <w:tcPr>
            <w:tcW w:w="805" w:type="dxa"/>
          </w:tcPr>
          <w:p w:rsidR="00DD4FBF" w:rsidRDefault="00DD4FBF" w:rsidP="003C6690">
            <w:pPr>
              <w:pStyle w:val="NoSpacing"/>
              <w:rPr>
                <w:sz w:val="24"/>
              </w:rPr>
            </w:pPr>
            <w:r>
              <w:rPr>
                <w:sz w:val="24"/>
              </w:rPr>
              <w:lastRenderedPageBreak/>
              <w:t>5</w:t>
            </w:r>
          </w:p>
        </w:tc>
        <w:tc>
          <w:tcPr>
            <w:tcW w:w="990" w:type="dxa"/>
          </w:tcPr>
          <w:p w:rsidR="00DD4FBF" w:rsidRPr="00F26EA0" w:rsidRDefault="00DD4FBF" w:rsidP="003C6690">
            <w:pPr>
              <w:pStyle w:val="NoSpacing"/>
              <w:rPr>
                <w:sz w:val="24"/>
              </w:rPr>
            </w:pPr>
            <w:r>
              <w:rPr>
                <w:sz w:val="24"/>
              </w:rPr>
              <w:t>498</w:t>
            </w:r>
          </w:p>
        </w:tc>
        <w:tc>
          <w:tcPr>
            <w:tcW w:w="3780" w:type="dxa"/>
          </w:tcPr>
          <w:p w:rsidR="00DD4FBF" w:rsidRDefault="00DD4FBF" w:rsidP="003C6690">
            <w:pPr>
              <w:pStyle w:val="NoSpacing"/>
              <w:rPr>
                <w:sz w:val="24"/>
              </w:rPr>
            </w:pPr>
            <w:r>
              <w:rPr>
                <w:sz w:val="24"/>
              </w:rPr>
              <w:t>25.7 Residential Status for Income Tax</w:t>
            </w:r>
          </w:p>
          <w:p w:rsidR="00DD4FBF" w:rsidRDefault="00DD4FBF" w:rsidP="003C6690">
            <w:pPr>
              <w:pStyle w:val="NoSpacing"/>
              <w:rPr>
                <w:sz w:val="24"/>
              </w:rPr>
            </w:pPr>
          </w:p>
          <w:p w:rsidR="00DD4FBF" w:rsidRDefault="00DD4FBF" w:rsidP="003C6690">
            <w:pPr>
              <w:pStyle w:val="NoSpacing"/>
              <w:rPr>
                <w:sz w:val="24"/>
              </w:rPr>
            </w:pPr>
            <w:r>
              <w:rPr>
                <w:sz w:val="24"/>
              </w:rPr>
              <w:t>For qualifying as a resident of India as per Income Tax guidelines, the individual has to satisfy any of the following two conditions:</w:t>
            </w:r>
          </w:p>
          <w:p w:rsidR="00DD4FBF" w:rsidRDefault="00DD4FBF" w:rsidP="003C6690">
            <w:pPr>
              <w:pStyle w:val="NoSpacing"/>
              <w:rPr>
                <w:sz w:val="24"/>
              </w:rPr>
            </w:pPr>
            <w:r>
              <w:rPr>
                <w:sz w:val="24"/>
              </w:rPr>
              <w:t>(</w:t>
            </w:r>
            <w:proofErr w:type="spellStart"/>
            <w:r>
              <w:rPr>
                <w:sz w:val="24"/>
              </w:rPr>
              <w:t>i</w:t>
            </w:r>
            <w:proofErr w:type="spellEnd"/>
            <w:r>
              <w:rPr>
                <w:sz w:val="24"/>
              </w:rPr>
              <w:t>) Stay in India for a year of 182 days or more</w:t>
            </w:r>
          </w:p>
          <w:p w:rsidR="00DD4FBF" w:rsidRPr="00F26EA0" w:rsidRDefault="00DD4FBF" w:rsidP="003C6690">
            <w:pPr>
              <w:pStyle w:val="NoSpacing"/>
              <w:rPr>
                <w:sz w:val="24"/>
              </w:rPr>
            </w:pPr>
            <w:r>
              <w:rPr>
                <w:sz w:val="24"/>
              </w:rPr>
              <w:t>(ii) Stay in India for the immediately preceding years is 365 days or more and 60 days or more in the relevant financial year.</w:t>
            </w:r>
          </w:p>
        </w:tc>
        <w:tc>
          <w:tcPr>
            <w:tcW w:w="3690" w:type="dxa"/>
          </w:tcPr>
          <w:p w:rsidR="00DD4FBF" w:rsidRDefault="00DD4FBF" w:rsidP="003C6690">
            <w:pPr>
              <w:pStyle w:val="NoSpacing"/>
              <w:rPr>
                <w:sz w:val="24"/>
              </w:rPr>
            </w:pPr>
          </w:p>
          <w:p w:rsidR="00DD4FBF" w:rsidRPr="00DD4FBF" w:rsidRDefault="00DD4FBF" w:rsidP="00DD4FBF">
            <w:pPr>
              <w:pStyle w:val="NoSpacing"/>
              <w:rPr>
                <w:sz w:val="24"/>
              </w:rPr>
            </w:pPr>
            <w:r w:rsidRPr="00DD4FBF">
              <w:rPr>
                <w:sz w:val="24"/>
              </w:rPr>
              <w:t>An individual will be treated as a Resident in India in any previous year if he / she satisfies any of the following conditions:</w:t>
            </w:r>
          </w:p>
          <w:p w:rsidR="00DD4FBF" w:rsidRPr="00DD4FBF" w:rsidRDefault="00DD4FBF" w:rsidP="00DD4FBF">
            <w:pPr>
              <w:pStyle w:val="NoSpacing"/>
              <w:rPr>
                <w:sz w:val="24"/>
              </w:rPr>
            </w:pPr>
            <w:r w:rsidRPr="00DD4FBF">
              <w:rPr>
                <w:sz w:val="24"/>
              </w:rPr>
              <w:t>1. If he / she is in India for a period of 182 days, or more during the previous year or</w:t>
            </w:r>
          </w:p>
          <w:p w:rsidR="00DD4FBF" w:rsidRPr="00F26EA0" w:rsidRDefault="00DD4FBF" w:rsidP="00DD4FBF">
            <w:pPr>
              <w:pStyle w:val="NoSpacing"/>
              <w:rPr>
                <w:sz w:val="24"/>
              </w:rPr>
            </w:pPr>
            <w:r w:rsidRPr="00DD4FBF">
              <w:rPr>
                <w:sz w:val="24"/>
              </w:rPr>
              <w:t>2. If he / she is in India for a period of 60 days or more during the previous year and 365 days or more during 4 years immediately preceding the previous year.</w:t>
            </w:r>
          </w:p>
        </w:tc>
      </w:tr>
      <w:tr w:rsidR="003C6690" w:rsidTr="003A09F5">
        <w:tc>
          <w:tcPr>
            <w:tcW w:w="805" w:type="dxa"/>
          </w:tcPr>
          <w:p w:rsidR="003C6690" w:rsidRPr="00F26EA0" w:rsidRDefault="00A71696" w:rsidP="003C6690">
            <w:pPr>
              <w:pStyle w:val="NoSpacing"/>
              <w:rPr>
                <w:sz w:val="24"/>
              </w:rPr>
            </w:pPr>
            <w:r>
              <w:rPr>
                <w:sz w:val="24"/>
              </w:rPr>
              <w:t>6</w:t>
            </w:r>
          </w:p>
        </w:tc>
        <w:tc>
          <w:tcPr>
            <w:tcW w:w="990" w:type="dxa"/>
          </w:tcPr>
          <w:p w:rsidR="003C6690" w:rsidRPr="00F26EA0" w:rsidRDefault="00A71696" w:rsidP="003C6690">
            <w:pPr>
              <w:pStyle w:val="NoSpacing"/>
              <w:rPr>
                <w:sz w:val="24"/>
              </w:rPr>
            </w:pPr>
            <w:r>
              <w:rPr>
                <w:sz w:val="24"/>
              </w:rPr>
              <w:t>509</w:t>
            </w:r>
          </w:p>
        </w:tc>
        <w:tc>
          <w:tcPr>
            <w:tcW w:w="3780" w:type="dxa"/>
          </w:tcPr>
          <w:p w:rsidR="003C6690" w:rsidRDefault="00A71696" w:rsidP="003C6690">
            <w:pPr>
              <w:pStyle w:val="NoSpacing"/>
              <w:rPr>
                <w:sz w:val="24"/>
              </w:rPr>
            </w:pPr>
            <w:r>
              <w:rPr>
                <w:sz w:val="24"/>
              </w:rPr>
              <w:t>Senior Citizen Saving Scheme (SCSS)</w:t>
            </w:r>
          </w:p>
          <w:p w:rsidR="00A71696" w:rsidRDefault="00A71696" w:rsidP="003C6690">
            <w:pPr>
              <w:pStyle w:val="NoSpacing"/>
              <w:rPr>
                <w:sz w:val="24"/>
              </w:rPr>
            </w:pPr>
          </w:p>
          <w:p w:rsidR="00A71696" w:rsidRPr="00F26EA0" w:rsidRDefault="00A71696" w:rsidP="003C6690">
            <w:pPr>
              <w:pStyle w:val="NoSpacing"/>
              <w:rPr>
                <w:sz w:val="24"/>
              </w:rPr>
            </w:pPr>
            <w:r>
              <w:rPr>
                <w:sz w:val="24"/>
              </w:rPr>
              <w:t>Section 80C income tax deductions cover the principal amount, and the interest is tax free.</w:t>
            </w:r>
          </w:p>
        </w:tc>
        <w:tc>
          <w:tcPr>
            <w:tcW w:w="3690" w:type="dxa"/>
          </w:tcPr>
          <w:p w:rsidR="003C6690" w:rsidRDefault="003C6690" w:rsidP="003C6690">
            <w:pPr>
              <w:pStyle w:val="NoSpacing"/>
              <w:rPr>
                <w:sz w:val="24"/>
              </w:rPr>
            </w:pPr>
          </w:p>
          <w:p w:rsidR="00A71696" w:rsidRPr="00F26EA0" w:rsidRDefault="00A71696" w:rsidP="003C6690">
            <w:pPr>
              <w:pStyle w:val="NoSpacing"/>
              <w:rPr>
                <w:sz w:val="24"/>
              </w:rPr>
            </w:pPr>
            <w:r>
              <w:rPr>
                <w:sz w:val="24"/>
              </w:rPr>
              <w:t>Under Section 80C, deductions cover the principal amount, and the interest is taxable as per extant IT guidelines.</w:t>
            </w:r>
            <w:bookmarkStart w:id="0" w:name="_GoBack"/>
            <w:bookmarkEnd w:id="0"/>
          </w:p>
        </w:tc>
      </w:tr>
    </w:tbl>
    <w:p w:rsidR="006B320F" w:rsidRDefault="006B320F" w:rsidP="003B2694">
      <w:pPr>
        <w:pStyle w:val="NoSpacing"/>
      </w:pPr>
    </w:p>
    <w:p w:rsidR="00552230" w:rsidRDefault="00552230" w:rsidP="003B2694">
      <w:pPr>
        <w:pStyle w:val="NoSpacing"/>
      </w:pPr>
    </w:p>
    <w:tbl>
      <w:tblPr>
        <w:tblStyle w:val="TableGrid"/>
        <w:tblW w:w="9265" w:type="dxa"/>
        <w:tblLook w:val="04A0" w:firstRow="1" w:lastRow="0" w:firstColumn="1" w:lastColumn="0" w:noHBand="0" w:noVBand="1"/>
      </w:tblPr>
      <w:tblGrid>
        <w:gridCol w:w="805"/>
        <w:gridCol w:w="990"/>
        <w:gridCol w:w="3780"/>
        <w:gridCol w:w="3690"/>
      </w:tblGrid>
      <w:tr w:rsidR="001A642D" w:rsidRPr="00F6604E" w:rsidTr="00B57CCE">
        <w:tc>
          <w:tcPr>
            <w:tcW w:w="9265" w:type="dxa"/>
            <w:gridSpan w:val="4"/>
          </w:tcPr>
          <w:p w:rsidR="001A642D" w:rsidRPr="00F6604E" w:rsidRDefault="001A642D" w:rsidP="00B57CCE">
            <w:pPr>
              <w:pStyle w:val="NoSpacing"/>
              <w:jc w:val="center"/>
              <w:rPr>
                <w:b/>
                <w:sz w:val="24"/>
              </w:rPr>
            </w:pPr>
            <w:r>
              <w:rPr>
                <w:b/>
                <w:sz w:val="28"/>
              </w:rPr>
              <w:t>Indian Economy &amp; Indian Financial System</w:t>
            </w:r>
          </w:p>
        </w:tc>
      </w:tr>
      <w:tr w:rsidR="001A642D" w:rsidRPr="00F26EA0" w:rsidTr="00B57CCE">
        <w:tc>
          <w:tcPr>
            <w:tcW w:w="805" w:type="dxa"/>
          </w:tcPr>
          <w:p w:rsidR="001A642D" w:rsidRPr="00F26EA0" w:rsidRDefault="001A642D" w:rsidP="00B57CCE">
            <w:pPr>
              <w:pStyle w:val="NoSpacing"/>
              <w:rPr>
                <w:sz w:val="24"/>
              </w:rPr>
            </w:pPr>
            <w:r>
              <w:rPr>
                <w:sz w:val="24"/>
              </w:rPr>
              <w:t>1</w:t>
            </w:r>
          </w:p>
        </w:tc>
        <w:tc>
          <w:tcPr>
            <w:tcW w:w="990" w:type="dxa"/>
          </w:tcPr>
          <w:p w:rsidR="001A642D" w:rsidRPr="00F26EA0" w:rsidRDefault="00BA44B0" w:rsidP="00B57CCE">
            <w:pPr>
              <w:pStyle w:val="NoSpacing"/>
              <w:rPr>
                <w:sz w:val="24"/>
              </w:rPr>
            </w:pPr>
            <w:r>
              <w:rPr>
                <w:sz w:val="24"/>
              </w:rPr>
              <w:t>50</w:t>
            </w:r>
          </w:p>
        </w:tc>
        <w:tc>
          <w:tcPr>
            <w:tcW w:w="3780" w:type="dxa"/>
          </w:tcPr>
          <w:p w:rsidR="001A642D" w:rsidRPr="00F26EA0" w:rsidRDefault="00BA44B0" w:rsidP="00B57CCE">
            <w:pPr>
              <w:pStyle w:val="NoSpacing"/>
              <w:rPr>
                <w:sz w:val="24"/>
              </w:rPr>
            </w:pPr>
            <w:r>
              <w:rPr>
                <w:sz w:val="24"/>
              </w:rPr>
              <w:t>Individual Micro and Small Enterprises can apply for collateral-free loans (up to Rs. 1 Crore)</w:t>
            </w:r>
          </w:p>
        </w:tc>
        <w:tc>
          <w:tcPr>
            <w:tcW w:w="3690" w:type="dxa"/>
          </w:tcPr>
          <w:p w:rsidR="001A642D" w:rsidRPr="00F26EA0" w:rsidRDefault="00BA44B0" w:rsidP="00B57CCE">
            <w:pPr>
              <w:pStyle w:val="NoSpacing"/>
              <w:rPr>
                <w:sz w:val="24"/>
              </w:rPr>
            </w:pPr>
            <w:r>
              <w:rPr>
                <w:sz w:val="24"/>
              </w:rPr>
              <w:t>Individual Micro and Small Enterprises can apply for collateral-free loans (</w:t>
            </w:r>
            <w:r w:rsidRPr="00BA44B0">
              <w:rPr>
                <w:color w:val="FF0000"/>
                <w:sz w:val="24"/>
              </w:rPr>
              <w:t>up to Rs. 5 Crore</w:t>
            </w:r>
            <w:r>
              <w:rPr>
                <w:sz w:val="24"/>
              </w:rPr>
              <w:t>)</w:t>
            </w:r>
          </w:p>
        </w:tc>
      </w:tr>
      <w:tr w:rsidR="001A642D" w:rsidRPr="00F26EA0" w:rsidTr="00B57CCE">
        <w:tc>
          <w:tcPr>
            <w:tcW w:w="805" w:type="dxa"/>
          </w:tcPr>
          <w:p w:rsidR="001A642D" w:rsidRPr="00F26EA0" w:rsidRDefault="0074698B" w:rsidP="00B57CCE">
            <w:pPr>
              <w:pStyle w:val="NoSpacing"/>
              <w:rPr>
                <w:sz w:val="24"/>
              </w:rPr>
            </w:pPr>
            <w:r>
              <w:rPr>
                <w:sz w:val="24"/>
              </w:rPr>
              <w:t>2</w:t>
            </w:r>
          </w:p>
        </w:tc>
        <w:tc>
          <w:tcPr>
            <w:tcW w:w="990" w:type="dxa"/>
          </w:tcPr>
          <w:p w:rsidR="001A642D" w:rsidRPr="00F26EA0" w:rsidRDefault="00F03CC4" w:rsidP="00B57CCE">
            <w:pPr>
              <w:pStyle w:val="NoSpacing"/>
              <w:rPr>
                <w:sz w:val="24"/>
              </w:rPr>
            </w:pPr>
            <w:r>
              <w:rPr>
                <w:sz w:val="24"/>
              </w:rPr>
              <w:t>428</w:t>
            </w:r>
          </w:p>
        </w:tc>
        <w:tc>
          <w:tcPr>
            <w:tcW w:w="3780" w:type="dxa"/>
          </w:tcPr>
          <w:p w:rsidR="0074698B" w:rsidRDefault="00BD5EBD" w:rsidP="00B57CCE">
            <w:pPr>
              <w:pStyle w:val="NoSpacing"/>
              <w:rPr>
                <w:sz w:val="24"/>
              </w:rPr>
            </w:pPr>
            <w:r>
              <w:rPr>
                <w:sz w:val="24"/>
              </w:rPr>
              <w:t>Preferred Stock/ Preference Shares</w:t>
            </w:r>
          </w:p>
          <w:p w:rsidR="00BD5EBD" w:rsidRDefault="00BD5EBD" w:rsidP="00B57CCE">
            <w:pPr>
              <w:pStyle w:val="NoSpacing"/>
              <w:rPr>
                <w:sz w:val="24"/>
              </w:rPr>
            </w:pPr>
          </w:p>
          <w:p w:rsidR="00BD5EBD" w:rsidRPr="00F26EA0" w:rsidRDefault="00BD5EBD" w:rsidP="00B57CCE">
            <w:pPr>
              <w:pStyle w:val="NoSpacing"/>
              <w:rPr>
                <w:sz w:val="24"/>
              </w:rPr>
            </w:pPr>
            <w:r>
              <w:rPr>
                <w:sz w:val="24"/>
              </w:rPr>
              <w:t>These shares do not offer voting rights</w:t>
            </w:r>
          </w:p>
        </w:tc>
        <w:tc>
          <w:tcPr>
            <w:tcW w:w="3690" w:type="dxa"/>
          </w:tcPr>
          <w:p w:rsidR="001A642D" w:rsidRDefault="00BD5EBD" w:rsidP="00F978EE">
            <w:pPr>
              <w:pStyle w:val="NoSpacing"/>
              <w:rPr>
                <w:sz w:val="24"/>
              </w:rPr>
            </w:pPr>
            <w:r>
              <w:rPr>
                <w:sz w:val="24"/>
              </w:rPr>
              <w:t>These shares do not have voting rights except in special cases.</w:t>
            </w:r>
          </w:p>
          <w:p w:rsidR="00BD5EBD" w:rsidRDefault="00BD5EBD" w:rsidP="00F978EE">
            <w:pPr>
              <w:pStyle w:val="NoSpacing"/>
              <w:rPr>
                <w:sz w:val="24"/>
              </w:rPr>
            </w:pPr>
          </w:p>
          <w:p w:rsidR="00BE59EC" w:rsidRPr="00BE59EC" w:rsidRDefault="00BD5EBD" w:rsidP="00BE59EC">
            <w:pPr>
              <w:pStyle w:val="NoSpacing"/>
              <w:rPr>
                <w:sz w:val="24"/>
              </w:rPr>
            </w:pPr>
            <w:r>
              <w:rPr>
                <w:sz w:val="24"/>
              </w:rPr>
              <w:t>As per Sec 47</w:t>
            </w:r>
            <w:r w:rsidR="00BE59EC">
              <w:rPr>
                <w:sz w:val="24"/>
              </w:rPr>
              <w:t xml:space="preserve"> of the Companies Act, 2013 , e</w:t>
            </w:r>
            <w:r w:rsidR="00BE59EC" w:rsidRPr="00BE59EC">
              <w:rPr>
                <w:sz w:val="24"/>
              </w:rPr>
              <w:t>very member of a company limited by shares and holding any preference share capital therein shall, in respect of such capital, have a right to vote only on resolutions placed before the company which directly affect the rights attached to his preference shares and, any resolution for the winding up of the company or for the repayment or reduction of its equity or preference share capital and his voting right on a poll shall be in proportion to his share in the paid-up preference share capital of the company:</w:t>
            </w:r>
          </w:p>
          <w:p w:rsidR="00BE59EC" w:rsidRPr="00BE59EC" w:rsidRDefault="00BE59EC" w:rsidP="00BE59EC">
            <w:pPr>
              <w:pStyle w:val="NoSpacing"/>
              <w:rPr>
                <w:sz w:val="24"/>
              </w:rPr>
            </w:pPr>
          </w:p>
          <w:p w:rsidR="00BE59EC" w:rsidRPr="00BE59EC" w:rsidRDefault="00BE59EC" w:rsidP="00BE59EC">
            <w:pPr>
              <w:pStyle w:val="NoSpacing"/>
              <w:rPr>
                <w:sz w:val="24"/>
              </w:rPr>
            </w:pPr>
            <w:r w:rsidRPr="00BE59EC">
              <w:rPr>
                <w:sz w:val="24"/>
              </w:rPr>
              <w:lastRenderedPageBreak/>
              <w:t>Provided that the proportion of the voting rights of equity shareholders to the voting rights of the preference shareholders shall be in the same proportion as the paid-up capital in respect of the equity shares bears to the paid-up capital in respect of the preference shares:</w:t>
            </w:r>
          </w:p>
          <w:p w:rsidR="00BE59EC" w:rsidRPr="00BE59EC" w:rsidRDefault="00BE59EC" w:rsidP="00BE59EC">
            <w:pPr>
              <w:pStyle w:val="NoSpacing"/>
              <w:rPr>
                <w:sz w:val="24"/>
              </w:rPr>
            </w:pPr>
          </w:p>
          <w:p w:rsidR="00BD5EBD" w:rsidRPr="00F26EA0" w:rsidRDefault="00BE59EC" w:rsidP="00BE59EC">
            <w:pPr>
              <w:pStyle w:val="NoSpacing"/>
              <w:rPr>
                <w:sz w:val="24"/>
              </w:rPr>
            </w:pPr>
            <w:r w:rsidRPr="00BE59EC">
              <w:rPr>
                <w:sz w:val="24"/>
              </w:rPr>
              <w:t>Provided further that where the dividend in respect of a class of preference shares has not been paid for a period of two years or more, such class of preference shareholders shall have a right to vote on all the resolutions placed before the company.</w:t>
            </w:r>
          </w:p>
        </w:tc>
      </w:tr>
      <w:tr w:rsidR="00F03CC4" w:rsidRPr="00F26EA0" w:rsidTr="00B57CCE">
        <w:tc>
          <w:tcPr>
            <w:tcW w:w="805" w:type="dxa"/>
          </w:tcPr>
          <w:p w:rsidR="00F03CC4" w:rsidRPr="00F26EA0" w:rsidRDefault="00F03CC4" w:rsidP="00F03CC4">
            <w:pPr>
              <w:pStyle w:val="NoSpacing"/>
              <w:rPr>
                <w:sz w:val="24"/>
              </w:rPr>
            </w:pPr>
            <w:r>
              <w:rPr>
                <w:sz w:val="24"/>
              </w:rPr>
              <w:lastRenderedPageBreak/>
              <w:t>3</w:t>
            </w:r>
          </w:p>
        </w:tc>
        <w:tc>
          <w:tcPr>
            <w:tcW w:w="990" w:type="dxa"/>
          </w:tcPr>
          <w:p w:rsidR="00F03CC4" w:rsidRPr="00F26EA0" w:rsidRDefault="00F03CC4" w:rsidP="00F03CC4">
            <w:pPr>
              <w:pStyle w:val="NoSpacing"/>
              <w:rPr>
                <w:sz w:val="24"/>
              </w:rPr>
            </w:pPr>
            <w:r>
              <w:rPr>
                <w:sz w:val="24"/>
              </w:rPr>
              <w:t>646</w:t>
            </w:r>
          </w:p>
        </w:tc>
        <w:tc>
          <w:tcPr>
            <w:tcW w:w="3780" w:type="dxa"/>
          </w:tcPr>
          <w:p w:rsidR="00F03CC4" w:rsidRDefault="00F03CC4" w:rsidP="00F03CC4">
            <w:pPr>
              <w:pStyle w:val="NoSpacing"/>
              <w:rPr>
                <w:sz w:val="24"/>
              </w:rPr>
            </w:pPr>
            <w:r w:rsidRPr="00F978EE">
              <w:rPr>
                <w:sz w:val="24"/>
                <w:highlight w:val="yellow"/>
              </w:rPr>
              <w:t>45.16</w:t>
            </w:r>
          </w:p>
          <w:p w:rsidR="00F03CC4" w:rsidRDefault="00F03CC4" w:rsidP="00F03CC4">
            <w:pPr>
              <w:pStyle w:val="NoSpacing"/>
              <w:rPr>
                <w:sz w:val="24"/>
              </w:rPr>
            </w:pPr>
            <w:r>
              <w:rPr>
                <w:sz w:val="24"/>
              </w:rPr>
              <w:t>Reduction in minimum subscription</w:t>
            </w:r>
          </w:p>
          <w:p w:rsidR="00F03CC4" w:rsidRDefault="00F03CC4" w:rsidP="00F03CC4">
            <w:pPr>
              <w:pStyle w:val="NoSpacing"/>
              <w:rPr>
                <w:sz w:val="24"/>
              </w:rPr>
            </w:pPr>
          </w:p>
          <w:p w:rsidR="00F03CC4" w:rsidRPr="00F26EA0" w:rsidRDefault="00F03CC4" w:rsidP="00F03CC4">
            <w:pPr>
              <w:pStyle w:val="NoSpacing"/>
              <w:rPr>
                <w:sz w:val="24"/>
              </w:rPr>
            </w:pPr>
            <w:r>
              <w:rPr>
                <w:sz w:val="24"/>
              </w:rPr>
              <w:t>In 2019, capital market regulator SEBI reduced the minimum investment limit on InvITs, thereby, making them more easily accessible. The minimum subscription limit for investing in InvITs was reduced from Rs. 10 Lakh to 1 Lakh</w:t>
            </w:r>
          </w:p>
        </w:tc>
        <w:tc>
          <w:tcPr>
            <w:tcW w:w="3690" w:type="dxa"/>
          </w:tcPr>
          <w:p w:rsidR="00F03CC4" w:rsidRDefault="00F03CC4" w:rsidP="00F03CC4">
            <w:pPr>
              <w:pStyle w:val="NoSpacing"/>
              <w:rPr>
                <w:sz w:val="24"/>
              </w:rPr>
            </w:pPr>
            <w:r w:rsidRPr="00F978EE">
              <w:rPr>
                <w:sz w:val="24"/>
                <w:highlight w:val="yellow"/>
              </w:rPr>
              <w:t>45.16</w:t>
            </w:r>
            <w:r>
              <w:rPr>
                <w:sz w:val="24"/>
              </w:rPr>
              <w:t xml:space="preserve"> </w:t>
            </w:r>
          </w:p>
          <w:p w:rsidR="00F03CC4" w:rsidRDefault="00F03CC4" w:rsidP="00F03CC4">
            <w:pPr>
              <w:pStyle w:val="NoSpacing"/>
              <w:rPr>
                <w:sz w:val="24"/>
              </w:rPr>
            </w:pPr>
            <w:r>
              <w:rPr>
                <w:sz w:val="24"/>
              </w:rPr>
              <w:t>Reduction in minimum subscription</w:t>
            </w:r>
          </w:p>
          <w:p w:rsidR="00F03CC4" w:rsidRDefault="00F03CC4" w:rsidP="00F03CC4">
            <w:pPr>
              <w:pStyle w:val="NoSpacing"/>
              <w:rPr>
                <w:sz w:val="24"/>
              </w:rPr>
            </w:pPr>
          </w:p>
          <w:p w:rsidR="00F03CC4" w:rsidRPr="00F26EA0" w:rsidRDefault="00F03CC4" w:rsidP="00F03CC4">
            <w:pPr>
              <w:pStyle w:val="NoSpacing"/>
              <w:rPr>
                <w:sz w:val="24"/>
              </w:rPr>
            </w:pPr>
            <w:r>
              <w:rPr>
                <w:sz w:val="24"/>
              </w:rPr>
              <w:t xml:space="preserve">In </w:t>
            </w:r>
            <w:r w:rsidRPr="00F03CC4">
              <w:rPr>
                <w:color w:val="FF0000"/>
                <w:sz w:val="24"/>
              </w:rPr>
              <w:t>2021</w:t>
            </w:r>
            <w:r>
              <w:rPr>
                <w:sz w:val="24"/>
              </w:rPr>
              <w:t xml:space="preserve">, capital market regulator SEBI reduced the minimum investment limit on InvITs, thereby, making them more easily accessible. The minimum subscription limit for investing in InvITs was reduced </w:t>
            </w:r>
            <w:r w:rsidRPr="00F978EE">
              <w:rPr>
                <w:sz w:val="24"/>
              </w:rPr>
              <w:t xml:space="preserve">from Rs 1 lakh to the range of </w:t>
            </w:r>
            <w:r w:rsidRPr="00F978EE">
              <w:rPr>
                <w:color w:val="FF0000"/>
                <w:sz w:val="24"/>
              </w:rPr>
              <w:t>Rs 10,000 to Rs 15,000 and the minimum trading lot from 100 units to 1 unit.</w:t>
            </w:r>
          </w:p>
        </w:tc>
      </w:tr>
    </w:tbl>
    <w:p w:rsidR="00552230" w:rsidRDefault="00552230" w:rsidP="003B2694">
      <w:pPr>
        <w:pStyle w:val="NoSpacing"/>
      </w:pPr>
    </w:p>
    <w:sectPr w:rsidR="00552230" w:rsidSect="003B2694">
      <w:pgSz w:w="11906" w:h="16838"/>
      <w:pgMar w:top="8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0F"/>
    <w:rsid w:val="001A642D"/>
    <w:rsid w:val="002E094A"/>
    <w:rsid w:val="00373519"/>
    <w:rsid w:val="00385CD8"/>
    <w:rsid w:val="003A09F5"/>
    <w:rsid w:val="003B2694"/>
    <w:rsid w:val="003C6690"/>
    <w:rsid w:val="003F1057"/>
    <w:rsid w:val="004530C2"/>
    <w:rsid w:val="00467CDB"/>
    <w:rsid w:val="004F0AA2"/>
    <w:rsid w:val="00552230"/>
    <w:rsid w:val="00585143"/>
    <w:rsid w:val="00693D7B"/>
    <w:rsid w:val="006B320F"/>
    <w:rsid w:val="006B676E"/>
    <w:rsid w:val="0074698B"/>
    <w:rsid w:val="00A71696"/>
    <w:rsid w:val="00B410CA"/>
    <w:rsid w:val="00BA44B0"/>
    <w:rsid w:val="00BC7A34"/>
    <w:rsid w:val="00BD5EBD"/>
    <w:rsid w:val="00BE59EC"/>
    <w:rsid w:val="00C13D70"/>
    <w:rsid w:val="00C92CF7"/>
    <w:rsid w:val="00CC675A"/>
    <w:rsid w:val="00DD4FBF"/>
    <w:rsid w:val="00F03CC4"/>
    <w:rsid w:val="00F26EA0"/>
    <w:rsid w:val="00F6604E"/>
    <w:rsid w:val="00F978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6A89"/>
  <w15:chartTrackingRefBased/>
  <w15:docId w15:val="{24B96226-0EF4-480D-8E86-8DBCBD9F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3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2694"/>
    <w:pPr>
      <w:spacing w:after="0" w:line="240" w:lineRule="auto"/>
    </w:pPr>
  </w:style>
  <w:style w:type="paragraph" w:styleId="BalloonText">
    <w:name w:val="Balloon Text"/>
    <w:basedOn w:val="Normal"/>
    <w:link w:val="BalloonTextChar"/>
    <w:uiPriority w:val="99"/>
    <w:semiHidden/>
    <w:unhideWhenUsed/>
    <w:rsid w:val="003C6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6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soumya P</dc:creator>
  <cp:keywords/>
  <dc:description/>
  <cp:lastModifiedBy>Rajdeep Bose</cp:lastModifiedBy>
  <cp:revision>8</cp:revision>
  <dcterms:created xsi:type="dcterms:W3CDTF">2023-10-11T12:25:00Z</dcterms:created>
  <dcterms:modified xsi:type="dcterms:W3CDTF">2023-10-12T06:25:00Z</dcterms:modified>
</cp:coreProperties>
</file>